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lang w:eastAsia="zh-CN"/>
        </w:rPr>
      </w:pPr>
      <w:bookmarkStart w:id="0" w:name="_Toc19155"/>
      <w:r>
        <w:rPr>
          <w:rFonts w:hint="eastAsia" w:ascii="方正仿宋_GBK" w:hAnsi="方正仿宋_GBK" w:eastAsia="方正仿宋_GBK" w:cs="方正仿宋_GBK"/>
          <w:b/>
          <w:bCs/>
          <w:color w:val="000000"/>
          <w:sz w:val="28"/>
          <w:szCs w:val="28"/>
          <w:lang w:val="en-US" w:eastAsia="zh-CN"/>
        </w:rPr>
        <w:t>实验室配套设备一批采购文件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医院实验室配套设备一批项目</w:t>
      </w:r>
      <w:r>
        <w:rPr>
          <w:rFonts w:hint="eastAsia" w:ascii="方正仿宋_GBK" w:hAnsi="方正仿宋_GBK" w:eastAsia="方正仿宋_GBK" w:cs="方正仿宋_GBK"/>
          <w:color w:val="000000"/>
          <w:sz w:val="24"/>
          <w:szCs w:val="24"/>
        </w:rPr>
        <w:t>进行谈判，欢迎具有相关资质且有良好信誉和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bookmarkEnd w:id="0"/>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1" w:name="_Toc16790"/>
      <w:bookmarkStart w:id="2" w:name="_Toc5295"/>
      <w:r>
        <w:rPr>
          <w:rFonts w:hint="eastAsia" w:ascii="方正仿宋_GBK" w:hAnsi="方正仿宋_GBK" w:eastAsia="方正仿宋_GBK" w:cs="方正仿宋_GBK"/>
          <w:b/>
          <w:bCs/>
          <w:color w:val="000000"/>
          <w:sz w:val="24"/>
          <w:szCs w:val="24"/>
        </w:rPr>
        <w:t>一、谈判内容</w:t>
      </w:r>
      <w:bookmarkEnd w:id="1"/>
      <w:bookmarkEnd w:id="2"/>
    </w:p>
    <w:tbl>
      <w:tblPr>
        <w:tblStyle w:val="13"/>
        <w:tblW w:w="9562" w:type="dxa"/>
        <w:jc w:val="center"/>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069"/>
        <w:gridCol w:w="2306"/>
        <w:gridCol w:w="465"/>
        <w:gridCol w:w="1421"/>
        <w:gridCol w:w="1192"/>
        <w:gridCol w:w="1277"/>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55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序号</w:t>
            </w:r>
          </w:p>
        </w:tc>
        <w:tc>
          <w:tcPr>
            <w:tcW w:w="1069"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采购内容</w:t>
            </w:r>
          </w:p>
        </w:tc>
        <w:tc>
          <w:tcPr>
            <w:tcW w:w="2306"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w:t>
            </w:r>
          </w:p>
        </w:tc>
        <w:tc>
          <w:tcPr>
            <w:tcW w:w="465"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数量</w:t>
            </w:r>
          </w:p>
        </w:tc>
        <w:tc>
          <w:tcPr>
            <w:tcW w:w="1421"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项目</w:t>
            </w:r>
            <w:r>
              <w:rPr>
                <w:rFonts w:hint="eastAsia" w:ascii="方正仿宋_GBK" w:hAnsi="方正仿宋_GBK" w:eastAsia="方正仿宋_GBK" w:cs="方正仿宋_GBK"/>
                <w:color w:val="000000"/>
                <w:sz w:val="24"/>
                <w:szCs w:val="24"/>
                <w:lang w:val="en-US" w:eastAsia="zh-CN"/>
              </w:rPr>
              <w:t>限价</w:t>
            </w:r>
          </w:p>
        </w:tc>
        <w:tc>
          <w:tcPr>
            <w:tcW w:w="1192"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项目主管科室</w:t>
            </w: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成交供应商数量</w:t>
            </w: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069"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实验室配套设备一批</w:t>
            </w:r>
          </w:p>
        </w:tc>
        <w:tc>
          <w:tcPr>
            <w:tcW w:w="2306"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小动物呼吸机</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4.5万元</w:t>
            </w:r>
          </w:p>
        </w:tc>
        <w:tc>
          <w:tcPr>
            <w:tcW w:w="1192"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1277" w:type="dxa"/>
            <w:vMerge w:val="restart"/>
            <w:tcBorders>
              <w:top w:val="single" w:color="auto" w:sz="4" w:space="0"/>
              <w:left w:val="single" w:color="auto" w:sz="4" w:space="0"/>
              <w:right w:val="single" w:color="auto" w:sz="4"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1个</w:t>
            </w:r>
          </w:p>
        </w:tc>
        <w:tc>
          <w:tcPr>
            <w:tcW w:w="1277" w:type="dxa"/>
            <w:vMerge w:val="restart"/>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单细胞悬液制备仪为核心产品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高电流电源</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1.78万元</w:t>
            </w:r>
          </w:p>
        </w:tc>
        <w:tc>
          <w:tcPr>
            <w:tcW w:w="1192"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电泳槽</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2.4万元</w:t>
            </w:r>
          </w:p>
        </w:tc>
        <w:tc>
          <w:tcPr>
            <w:tcW w:w="1192"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转印系统</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2.37万元</w:t>
            </w:r>
          </w:p>
        </w:tc>
        <w:tc>
          <w:tcPr>
            <w:tcW w:w="1192"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w:t>
            </w:r>
          </w:p>
        </w:tc>
        <w:tc>
          <w:tcPr>
            <w:tcW w:w="1069"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单细胞悬液制备仪</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18万元</w:t>
            </w:r>
          </w:p>
        </w:tc>
        <w:tc>
          <w:tcPr>
            <w:tcW w:w="1192"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w:t>
            </w:r>
          </w:p>
        </w:tc>
        <w:tc>
          <w:tcPr>
            <w:tcW w:w="1069"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eastAsia="zh-CN"/>
              </w:rPr>
            </w:pPr>
          </w:p>
        </w:tc>
        <w:tc>
          <w:tcPr>
            <w:tcW w:w="2306"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细胞计数仪</w:t>
            </w:r>
          </w:p>
        </w:tc>
        <w:tc>
          <w:tcPr>
            <w:tcW w:w="465"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6万元</w:t>
            </w:r>
          </w:p>
        </w:tc>
        <w:tc>
          <w:tcPr>
            <w:tcW w:w="1192"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vMerge w:val="continue"/>
            <w:tcBorders>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合计</w:t>
            </w:r>
          </w:p>
        </w:tc>
        <w:tc>
          <w:tcPr>
            <w:tcW w:w="1421" w:type="dxa"/>
            <w:tcBorders>
              <w:top w:val="single" w:color="auto" w:sz="4" w:space="0"/>
              <w:left w:val="single" w:color="auto" w:sz="4" w:space="0"/>
              <w:bottom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35.05万元</w:t>
            </w:r>
          </w:p>
        </w:tc>
        <w:tc>
          <w:tcPr>
            <w:tcW w:w="1192"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1277" w:type="dxa"/>
            <w:tcBorders>
              <w:top w:val="single" w:color="auto" w:sz="4" w:space="0"/>
              <w:left w:val="single" w:color="auto" w:sz="4" w:space="0"/>
              <w:right w:val="single" w:color="auto" w:sz="4"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r>
    </w:tbl>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2" w:firstLineChars="200"/>
        <w:rPr>
          <w:rFonts w:hint="eastAsia" w:ascii="方正仿宋_GBK" w:hAnsi="方正仿宋_GBK" w:eastAsia="方正仿宋_GBK" w:cs="方正仿宋_GBK"/>
          <w:b/>
          <w:bCs/>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b/>
          <w:bCs/>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（二）特定资格条件</w:t>
      </w:r>
    </w:p>
    <w:bookmarkEnd w:id="4"/>
    <w:p>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bookmarkStart w:id="8" w:name="_Toc22548773"/>
      <w:bookmarkStart w:id="9" w:name="_Toc9401"/>
      <w:bookmarkStart w:id="10" w:name="_Toc6178"/>
      <w:bookmarkStart w:id="11" w:name="_Toc26564"/>
      <w:bookmarkStart w:id="12" w:name="_Toc17509"/>
      <w:bookmarkStart w:id="13" w:name="_Toc11412"/>
      <w:bookmarkStart w:id="14" w:name="_Toc1965"/>
      <w:bookmarkStart w:id="15" w:name="_Toc3374"/>
      <w:bookmarkStart w:id="16" w:name="_Toc3976"/>
      <w:bookmarkStart w:id="17" w:name="_Toc21930"/>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所投产品若为进口产品，须提供制造商或制造商中国大陆境内代表机构出具的授权函</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提供授</w:t>
      </w:r>
      <w:r>
        <w:rPr>
          <w:rFonts w:hint="eastAsia" w:ascii="方正仿宋_GBK" w:hAnsi="方正仿宋_GBK" w:eastAsia="方正仿宋_GBK" w:cs="方正仿宋_GBK"/>
          <w:color w:val="auto"/>
          <w:sz w:val="24"/>
          <w:szCs w:val="24"/>
        </w:rPr>
        <w:t>权函</w:t>
      </w:r>
      <w:r>
        <w:rPr>
          <w:rFonts w:hint="eastAsia" w:ascii="方正仿宋_GBK" w:hAnsi="方正仿宋_GBK" w:eastAsia="方正仿宋_GBK" w:cs="方正仿宋_GBK"/>
          <w:color w:val="auto"/>
          <w:sz w:val="24"/>
          <w:szCs w:val="24"/>
          <w:lang w:val="en-US" w:eastAsia="zh-CN"/>
        </w:rPr>
        <w:t>复印件，原件现场备查</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000000"/>
          <w:sz w:val="24"/>
          <w:szCs w:val="24"/>
        </w:rPr>
        <w:t>；</w:t>
      </w:r>
    </w:p>
    <w:p>
      <w:pPr>
        <w:keepNext/>
        <w:keepLines/>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w:t>
      </w:r>
      <w:r>
        <w:rPr>
          <w:rFonts w:hint="eastAsia" w:ascii="方正仿宋_GBK" w:hAnsi="方正仿宋_GBK" w:eastAsia="方正仿宋_GBK" w:cs="方正仿宋_GBK"/>
          <w:color w:val="auto"/>
          <w:sz w:val="24"/>
          <w:szCs w:val="24"/>
          <w:lang w:eastAsia="zh-CN"/>
        </w:rPr>
        <w:t>.所投产品</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属于第一类医疗器械的，须</w:t>
      </w:r>
      <w:r>
        <w:rPr>
          <w:rFonts w:hint="eastAsia" w:ascii="方正仿宋_GBK" w:hAnsi="方正仿宋_GBK" w:eastAsia="方正仿宋_GBK" w:cs="方正仿宋_GBK"/>
          <w:color w:val="auto"/>
          <w:sz w:val="24"/>
          <w:szCs w:val="24"/>
          <w:lang w:val="en-US" w:eastAsia="zh-CN"/>
        </w:rPr>
        <w:t>具备</w:t>
      </w:r>
      <w:r>
        <w:rPr>
          <w:rFonts w:hint="eastAsia" w:ascii="方正仿宋_GBK" w:hAnsi="方正仿宋_GBK" w:eastAsia="方正仿宋_GBK" w:cs="方正仿宋_GBK"/>
          <w:color w:val="auto"/>
          <w:sz w:val="24"/>
          <w:szCs w:val="24"/>
          <w:lang w:eastAsia="zh-CN"/>
        </w:rPr>
        <w:t>第一类医疗器械备案信息表（提供信息表复印件）；</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属于第二类或第三类医疗器械的，须具</w:t>
      </w:r>
      <w:r>
        <w:rPr>
          <w:rFonts w:hint="eastAsia" w:ascii="方正仿宋_GBK" w:hAnsi="方正仿宋_GBK" w:eastAsia="方正仿宋_GBK" w:cs="方正仿宋_GBK"/>
          <w:color w:val="auto"/>
          <w:sz w:val="24"/>
          <w:szCs w:val="24"/>
          <w:lang w:val="en-US" w:eastAsia="zh-CN"/>
        </w:rPr>
        <w:t>备</w:t>
      </w:r>
      <w:r>
        <w:rPr>
          <w:rFonts w:hint="eastAsia" w:ascii="方正仿宋_GBK" w:hAnsi="方正仿宋_GBK" w:eastAsia="方正仿宋_GBK" w:cs="方正仿宋_GBK"/>
          <w:color w:val="auto"/>
          <w:sz w:val="24"/>
          <w:szCs w:val="24"/>
          <w:lang w:eastAsia="zh-CN"/>
        </w:rPr>
        <w:t>有效期内的中华人民共和国医疗器械注册证（提供注册证复印件）</w:t>
      </w:r>
      <w:r>
        <w:rPr>
          <w:rFonts w:hint="eastAsia" w:ascii="方正仿宋_GBK" w:hAnsi="方正仿宋_GBK" w:eastAsia="方正仿宋_GBK" w:cs="方正仿宋_GBK"/>
          <w:color w:val="auto"/>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rPr>
        <w:t>3.</w:t>
      </w:r>
      <w:r>
        <w:rPr>
          <w:rFonts w:hint="eastAsia" w:ascii="方正仿宋_GBK" w:hAnsi="方正仿宋_GBK" w:eastAsia="方正仿宋_GBK" w:cs="方正仿宋_GBK"/>
          <w:color w:val="auto"/>
          <w:sz w:val="24"/>
          <w:szCs w:val="24"/>
          <w:lang w:eastAsia="zh-CN"/>
        </w:rPr>
        <w:t>所投产品</w:t>
      </w:r>
      <w:r>
        <w:rPr>
          <w:rFonts w:hint="eastAsia" w:ascii="方正仿宋_GBK" w:hAnsi="方正仿宋_GBK" w:eastAsia="方正仿宋_GBK" w:cs="方正仿宋_GBK"/>
          <w:color w:val="auto"/>
          <w:sz w:val="24"/>
          <w:szCs w:val="24"/>
          <w:lang w:val="en-US" w:eastAsia="zh-CN"/>
        </w:rPr>
        <w:t>若</w:t>
      </w:r>
      <w:r>
        <w:rPr>
          <w:rFonts w:hint="eastAsia" w:ascii="方正仿宋_GBK" w:hAnsi="方正仿宋_GBK" w:eastAsia="方正仿宋_GBK" w:cs="方正仿宋_GBK"/>
          <w:color w:val="auto"/>
          <w:sz w:val="24"/>
          <w:szCs w:val="24"/>
          <w:lang w:eastAsia="zh-CN"/>
        </w:rPr>
        <w:t>属于</w:t>
      </w:r>
      <w:r>
        <w:rPr>
          <w:rFonts w:hint="eastAsia" w:ascii="方正仿宋_GBK" w:hAnsi="方正仿宋_GBK" w:eastAsia="方正仿宋_GBK" w:cs="方正仿宋_GBK"/>
          <w:color w:val="auto"/>
          <w:sz w:val="24"/>
          <w:szCs w:val="24"/>
          <w:lang w:val="en-US" w:eastAsia="zh-CN"/>
        </w:rPr>
        <w:t>医疗器械，则</w:t>
      </w:r>
      <w:r>
        <w:rPr>
          <w:rFonts w:hint="eastAsia" w:ascii="方正仿宋_GBK" w:hAnsi="方正仿宋_GBK" w:eastAsia="方正仿宋_GBK" w:cs="方正仿宋_GBK"/>
          <w:color w:val="auto"/>
          <w:sz w:val="24"/>
          <w:szCs w:val="24"/>
        </w:rPr>
        <w:t>须具备有效期内《医疗器械经营企业许可证》或《第</w:t>
      </w:r>
      <w:r>
        <w:rPr>
          <w:rFonts w:hint="eastAsia" w:ascii="方正仿宋_GBK" w:hAnsi="方正仿宋_GBK" w:eastAsia="方正仿宋_GBK" w:cs="方正仿宋_GBK"/>
          <w:color w:val="000000"/>
          <w:sz w:val="24"/>
          <w:szCs w:val="24"/>
        </w:rPr>
        <w:t>二类医疗器械经营备案凭证》</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提供相关证明材料复印件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w:t>
      </w:r>
    </w:p>
    <w:p>
      <w:pPr>
        <w:keepNext/>
        <w:keepLines/>
        <w:spacing w:line="480" w:lineRule="exact"/>
        <w:ind w:firstLine="482" w:firstLineChars="200"/>
        <w:rPr>
          <w:rFonts w:hint="default"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四、技术参数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（一）设备一：</w:t>
      </w:r>
      <w:r>
        <w:rPr>
          <w:rFonts w:hint="eastAsia" w:ascii="方正仿宋_GBK" w:hAnsi="方正仿宋_GBK" w:eastAsia="方正仿宋_GBK" w:cs="方正仿宋_GBK"/>
          <w:color w:val="000000"/>
          <w:sz w:val="24"/>
          <w:szCs w:val="24"/>
          <w:lang w:val="en-US" w:eastAsia="zh-CN"/>
        </w:rPr>
        <w:t>小动物呼吸机 1台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1.1提供安全有效的间歇正压通气（IPPV），拥有容控(VCV)和压控(PIPCV)两种工作模式；</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1.2可存储和加载1-10组不同呼吸参数设定，并一键调取；</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1.3显示规格: ≥7寸彩色触屏；</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1.4支持呼吸频率在10～300bpm之间切换，潮气量满足0.05ml～5ml，步径0.001ml，气道压力上限设定1～50cmH2O，步径1cmH2O，精度±0.7cmH2O，可组合设定PIP/PEEP/Sigh/INSP.Hold/EXP.Hold/等呼吸参数；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1.5呼吸末正压设置范围：0-10cmH2O，步径1cmH2O；</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1.6可在容控/压控两种通气模式下，满屏实时显示压力—时间曲线图，手动或自动调节界面比例大小；</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1.7声音报警，智能文字信息提示，错误代码查询；</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1.8一键输入动物体重0-500g，呼吸机内置标准参考数据，输入动物体重即可一键设置呼吸频率、吸呼比、潮气量等重要参数；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1.9吸呼比可调范围：20%-80%；叹息增加潮气量：0%-20%，可设定每10-999次呼吸自动叹息或手动控制；</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1.10工作环境：4℃～40℃（40°F～104°F）； </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1.11应用场景：R415支持设置10～300（bpm）的呼吸频率，可实现0.05～5 mL 的潮气量输出。同时，该小动物呼吸机可用于多种类型的混合气体，如麻醉气体、高浓度氧气等，并适用于大鼠、小鼠、豚鼠等10g-1 kg的小型动物，满足不同种类动物呼吸需求，能实现输入体重智能设定呼吸参数；</w:t>
      </w:r>
    </w:p>
    <w:p>
      <w:pPr>
        <w:keepNext/>
        <w:keepLines/>
        <w:spacing w:line="480" w:lineRule="exact"/>
        <w:ind w:firstLine="480" w:firstLineChars="200"/>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1.12其他拓展：可搭配吸入式麻醉系统，搭建麻醉呼吸一体化实验平台。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（二）设备二：高电流电源</w:t>
      </w:r>
      <w:r>
        <w:rPr>
          <w:rFonts w:hint="eastAsia" w:ascii="方正仿宋_GBK" w:hAnsi="方正仿宋_GBK" w:eastAsia="方正仿宋_GBK" w:cs="方正仿宋_GBK"/>
          <w:color w:val="000000"/>
          <w:sz w:val="24"/>
          <w:szCs w:val="24"/>
          <w:lang w:val="en-US" w:eastAsia="zh-CN"/>
        </w:rPr>
        <w:t xml:space="preserve">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2.1具有空载监测、荷载突变监测、过载/短路监测、过压保护；</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2.2电源电压范围：5-250V；</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2.3电源电流范围：0.01-3A；</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2.4电源功率：1-300W；</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2.5可恒压、恒流或恒功率；</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2.6时间设定：1-999min；</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2.7可同时输出4组电源；</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2.8安全标准：通过国际安全标准—EN-61010、CE；</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2.9具有断电后自动恢复功能。</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（三）设备三：电泳槽 2个</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3.1配置要求：缓冲液槽1个（带电源线的盖子，电极芯，固夹框和缓冲液挡板）、玻板1盒：内外玻板各5块( 厚度0.75 mm或者1mm可选，封边垫条厚度0.75mm或者1mm可选)、10孔梳子5把( 厚度0.75 mm或者1mm可选)、灌胶架两个（含4个软橡胶密封衬垫）、制胶框4个、上样引导装置1个。</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3.2.1使用2 个电泳模块，电泳槽可同时进行1-4块凝胶电泳；</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3.2.2预制胶大小：≧8.3X10cm；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3.2.3凝胶厚度可选择：0.75mm，1mm，1.5mm；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3.2.4加样梳可选孔数：5孔（宽度≧12.5mm）、9孔（宽度≧5mm）、10（宽度≧5mm）、15孔（宽度≧3.3mm）；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3.2.5 1.0mm厚度10孔加样梳每孔最大样品体积：≧44µl；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3.2.6玻板大小(WxL)：短玻板:≧10.1x7.3cm；带封边垫条的长玻板:≧10.1x8.2cm；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3.2.7 2块胶缓冲液总体积：≦700ml；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3.2.8 4块胶缓冲液总体积：：≦1000ml；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3.2.9 典型SDS-PAGE运行时间：35-45min（恒压200V）；</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3.2.10长玻璃板具有永久固定的封边垫条，保证玻板精确对齐，防止漏胶；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3.2.11带有封闭凸轮的制胶框确保在任何水平面上精确对齐；</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3.2.12标有厚度和孔数的玻板和加样梳便于识别；</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3.2.13灌胶架上的弹簧杠杆可再橡胶衬垫上形成良好的密封性，无需用琼脂糖密封；</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3.2.14具有上样引导装置，防止泳道遗漏上样或重复上样。</w:t>
      </w:r>
    </w:p>
    <w:p>
      <w:pPr>
        <w:keepNext/>
        <w:keepLines/>
        <w:spacing w:line="480" w:lineRule="exact"/>
        <w:ind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（四）转印系统3台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auto"/>
          <w:sz w:val="24"/>
          <w:szCs w:val="24"/>
          <w:lang w:val="en-US" w:eastAsia="zh-CN"/>
        </w:rPr>
        <w:t>4.1配置要求：转印槽1个、凝胶支架转印夹2个、电转印模块1个、冷却装置1个、</w:t>
      </w:r>
      <w:r>
        <w:rPr>
          <w:rFonts w:hint="eastAsia" w:ascii="方正仿宋_GBK" w:hAnsi="方正仿宋_GBK" w:eastAsia="方正仿宋_GBK" w:cs="方正仿宋_GBK"/>
          <w:color w:val="000000"/>
          <w:sz w:val="24"/>
          <w:szCs w:val="24"/>
          <w:lang w:val="en-US" w:eastAsia="zh-CN"/>
        </w:rPr>
        <w:t>纤维垫4块。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4.2.1转印孔板面积：≧7.5×10cm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4.2.2转印槽容纳2个凝胶支架转印夹，1小时内可同时转印2块凝胶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4.2.3缓冲液要求：≦1.2升</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4.2.4电极丝相距：4cm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4.2.5颜色标记的转印夹和电极，确保转印过程凝胶的方向正确</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4.2.6内置冷却装置，快速吸收转移过程中产生的热量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4.2.7可与垂直电泳槽的缓冲液槽和盖兼容。</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（五）单细胞悬液制备仪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5.1配置要求：组织解离仪主机1台、加热模块8个。</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5.2.1组织解离通量：1~8通道，每个通道能独立操作；</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5.2.2温控功能：各通道能独立保持37℃恒温，标配加热套；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5.2.3磨砂面结构，在不损害细胞的情况下使研磨更充分，提升解离效果；</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5.2.4解离程序：用户程序≧200个，出厂自带≥20个可视化解离程序，且可另设定自定义解离程序；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5.2.5小鼠常规组织解离时间≤40min；</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5.2.6转速：20~4000 rpm； </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5.2.7常规样本解离后细胞活率：≥80% ；</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5.2.8组织样本重量：20~4000mg；</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5.2.9反应液体积：0.3~10mL；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5.2.10洁净度：能无菌解离组织；</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5.2.11稳定性：同一组织，3次独立实验，细胞活率的CV≤15%；</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5.2.12 USB接口≧2个，支持USB Device、USB Host；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5.2.13具有带触控显示屏。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（六）设备六：细胞计数仪 1台</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6.1配置要求：细胞计数仪1台、细胞计数板50片、0.2%台盼蓝5mL。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6.2.1进样方式：自动进样；</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6.2.2镜头：CCD镜头，≥630万像素；</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6.2.3显示屏：大于等于10.1英寸LCD高清触摸屏；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6.2.4对焦方式：自动对焦；</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6.2.5计数模式：支持明场台盼蓝染色与非台盼蓝染色2种计数模式；</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6.2.6细胞直径可测范围：2~200μm；</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6.2.7细胞浓度可测范围：1×104 ~ 3×107个/mL；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6.2.8检测精度：CV值≤5%；</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6.2.9上样体积： 10μL；</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6.2.10检测耗时： &lt;10秒；</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6.2.11检测通量：单次可同时进行6个样品的分析，单个样品自动采集3个不同视野；</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6.2.12检测参数：细胞活率、总细胞浓度、活细胞浓度、死细胞浓度、总细胞个数、活细胞个数、死细胞个数、平均直径、聚团率等；</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6.2.13数据分析功能：支持数据检索和再分析，可进行细胞增殖曲线以及细胞大小直方图等分析；</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6.2.14用户管理权限：支持多级用户权限管理和审计追踪功能，电子记录符合FDA 21CFR Part11法规要求；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6.2.15数据图像导出格式：支持Excel、PDF、JPG；</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6.2.16可提供IQ/OQ/PQ验证服务；</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6.2.17 USB接口：USB 3.0；</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6.2.18存储：运行内存≥8G，硬盘≥500G；</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6.2.19支持软件在线升级和远程协助。</w:t>
      </w:r>
    </w:p>
    <w:p>
      <w:pPr>
        <w:keepNext/>
        <w:keepLines/>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五、商务要求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（一）交货时间、地点及验收方式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1.交货时间：签订合同后90天；</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2.交货地点：重庆市第四人民医院内指定地点；</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3.验收方式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3.1货物到达现场后，成交供应商应在使用单位人员在场情况下当面开箱，共同清点、检查外观，作出开箱记录，双方签字确认。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3.2成交供应商应保证货物到达采购人所在地完好无损，如有缺漏、损坏，由供应商负责调换、补齐或赔偿。</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3.3成交供应商应提供完备的技术资料、装箱单和合格证等，并派遣专业技术人员进行现场安装调试。验收合格条件如下：</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3.3.1设备技术参数与采购合同一致，性能指标达到规定的标准。</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3.3.2货物技术资料、装箱单、合格证等资料齐全。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3.3.3在设备试运行期间所出现的问题得到解决，并运行正常。</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3.3.4在规定时间内完成交货并验收，并经采购人确认。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3.4供应商提供的货物未达到谈判文件规定要求，且对采购人造成损失的，由供应商承担一切责任，并赔偿所造成的损失。</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3.5采购人需要制造商对成交供应商交付的产品（包括质量、技术参数等）进行确认的，制造商应予以配合，并出具书面意见。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（二）报价要求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报价包括完成本项目所需的全部费用，包括但不限于设备价格、材料费、运输费、保险费、安装费、知识产权费、仓储费、检测费、各种税费等相关所有费用。因供应商自身原因造成漏报、少报皆由其自行承担责任。</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1.响应文件中的大写金额和小写金额不一致的，以大写金额为准；总价金额与单价金额不一致的，以总价金额为准，单价金额小数点有明显错误的除外；对不同文字文本响应文件的解释发生异议的，以中文文本为准。</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2.同一项目不允许出现两个或两个以上报价，采购人不接受任何有选择性的报价。</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3.报价中的计价一律采用人民币。</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 xml:space="preserve">4.本项目设有最高限价￥350,500.00元（大写：叁拾伍万零伍佰元整）。 </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（三）产品质量保证期</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自验收合格之日起，质保期≥3年。</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（四）售后服务要求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highlight w:val="none"/>
          <w:lang w:val="en-US" w:eastAsia="zh-CN"/>
        </w:rPr>
        <w:t>1.</w:t>
      </w:r>
      <w:r>
        <w:rPr>
          <w:rFonts w:hint="default" w:ascii="方正仿宋_GBK" w:hAnsi="方正仿宋_GBK" w:eastAsia="方正仿宋_GBK" w:cs="方正仿宋_GBK"/>
          <w:color w:val="000000"/>
          <w:sz w:val="24"/>
          <w:szCs w:val="24"/>
          <w:lang w:val="en-US" w:eastAsia="zh-CN"/>
        </w:rPr>
        <w:t>生产厂家在重庆有专业人员提供售后服务</w:t>
      </w:r>
      <w:r>
        <w:rPr>
          <w:rFonts w:hint="eastAsia" w:ascii="方正仿宋_GBK" w:hAnsi="方正仿宋_GBK" w:eastAsia="方正仿宋_GBK" w:cs="方正仿宋_GBK"/>
          <w:color w:val="000000"/>
          <w:sz w:val="24"/>
          <w:szCs w:val="24"/>
          <w:lang w:val="en-US"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highlight w:val="none"/>
          <w:lang w:val="en-US" w:eastAsia="zh-CN"/>
        </w:rPr>
        <w:t>成交供应商和制造商在质量保证期内应当为采购人提供以下技术支持和服务：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2.1电话咨询</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成交供应商和制造商应当为采购人提供技术援助电话，解答采购人在使用中遇到的问题，及时为采购人提出解决问题的建议。</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2.2现场响应</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采购人遇到使用及技术问题，电话咨询不能解决的，成交供应商和制造商应在2小时内到达现场（远郊区4小时内到达现场）进行处理，确保产品正常工作；无法在12小时内解决的，应在24小时内提供备用产品，使采购人能够正常使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2.3技术升级</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在质保期内，如果成交供应商和制造商的产品技术升级，应及时通知采购人，如采购人有相应要求，应对采购人购买的产品进行升级服务。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3.质保期外服务要求</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3.1质量保证期过后，</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highlight w:val="none"/>
          <w:lang w:val="en-US" w:eastAsia="zh-CN"/>
        </w:rPr>
        <w:t>和制造商应同样提供免费电话咨询服务，并应承诺提供产品上门维护服务。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3.2质量保证期过后，采购人需要继续由原</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highlight w:val="none"/>
          <w:lang w:val="en-US" w:eastAsia="zh-CN"/>
        </w:rPr>
        <w:t>和制造商提供售后服务的，该</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highlight w:val="none"/>
          <w:lang w:val="en-US" w:eastAsia="zh-CN"/>
        </w:rPr>
        <w:t>和制造商应以优惠价格提供售后服务。</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4.备品备件及易损件</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成交供应商和制造商售后服务中，维修使用的备品备件及易损件应为原厂配件，未经采购人同意不得使用非原厂配件，</w:t>
      </w:r>
      <w:r>
        <w:rPr>
          <w:rFonts w:hint="eastAsia" w:ascii="方正仿宋_GBK" w:hAnsi="方正仿宋_GBK" w:eastAsia="方正仿宋_GBK" w:cs="方正仿宋_GBK"/>
          <w:b/>
          <w:bCs/>
          <w:color w:val="000000"/>
          <w:sz w:val="24"/>
          <w:szCs w:val="24"/>
          <w:highlight w:val="none"/>
          <w:lang w:val="en-US" w:eastAsia="zh-CN"/>
        </w:rPr>
        <w:t>常用的、容易损坏的备品备件及易损件的价格清单须在响应文件中列出</w:t>
      </w:r>
      <w:r>
        <w:rPr>
          <w:rFonts w:hint="eastAsia" w:ascii="仿宋" w:hAnsi="仿宋" w:eastAsia="仿宋"/>
          <w:b/>
          <w:bCs/>
          <w:sz w:val="24"/>
          <w:szCs w:val="24"/>
          <w:highlight w:val="none"/>
          <w:lang w:eastAsia="zh-CN"/>
        </w:rPr>
        <w:t>（</w:t>
      </w:r>
      <w:r>
        <w:rPr>
          <w:rFonts w:hint="eastAsia" w:ascii="仿宋" w:hAnsi="仿宋" w:eastAsia="仿宋"/>
          <w:b/>
          <w:bCs/>
          <w:sz w:val="24"/>
          <w:szCs w:val="24"/>
          <w:highlight w:val="none"/>
          <w:lang w:val="en-US" w:eastAsia="zh-CN"/>
        </w:rPr>
        <w:t>价格为现行市场价格，仅供参考</w:t>
      </w:r>
      <w:r>
        <w:rPr>
          <w:rFonts w:hint="eastAsia" w:ascii="仿宋" w:hAnsi="仿宋" w:eastAsia="仿宋"/>
          <w:b/>
          <w:bCs/>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w:t>
      </w:r>
    </w:p>
    <w:p>
      <w:pPr>
        <w:keepNext/>
        <w:keepLines/>
        <w:pageBreakBefore w:val="0"/>
        <w:widowControl w:val="0"/>
        <w:numPr>
          <w:ilvl w:val="0"/>
          <w:numId w:val="1"/>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lang w:val="en-US" w:eastAsia="zh-CN"/>
        </w:rPr>
      </w:pPr>
      <w:r>
        <w:rPr>
          <w:rFonts w:hint="eastAsia" w:ascii="方正仿宋_GBK" w:hAnsi="方正仿宋_GBK" w:eastAsia="方正仿宋_GBK" w:cs="方正仿宋_GBK"/>
          <w:color w:val="000000"/>
          <w:sz w:val="24"/>
          <w:szCs w:val="24"/>
          <w:highlight w:val="none"/>
          <w:lang w:val="en-US" w:eastAsia="zh-CN"/>
        </w:rPr>
        <w:t>付款方式</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auto"/>
          <w:sz w:val="24"/>
          <w:szCs w:val="24"/>
          <w:highlight w:val="none"/>
          <w:lang w:val="en-US" w:eastAsia="zh-CN"/>
        </w:rPr>
      </w:pPr>
      <w:r>
        <w:rPr>
          <w:rFonts w:hint="default" w:ascii="方正仿宋_GBK" w:hAnsi="方正仿宋_GBK" w:eastAsia="方正仿宋_GBK" w:cs="方正仿宋_GBK"/>
          <w:color w:val="auto"/>
          <w:sz w:val="24"/>
          <w:szCs w:val="24"/>
          <w:highlight w:val="none"/>
          <w:lang w:val="en-US" w:eastAsia="zh-CN"/>
        </w:rPr>
        <w:t>转账付款；合同签订后，采购人在产品安装、调试经双方验收合格后，收到成交供应商符合合同内容的合法有效的发票后付设备款</w:t>
      </w:r>
      <w:r>
        <w:rPr>
          <w:rFonts w:hint="eastAsia" w:ascii="方正仿宋_GBK" w:hAnsi="方正仿宋_GBK" w:eastAsia="方正仿宋_GBK" w:cs="方正仿宋_GBK"/>
          <w:color w:val="auto"/>
          <w:sz w:val="24"/>
          <w:szCs w:val="24"/>
          <w:highlight w:val="none"/>
          <w:lang w:val="en-US"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（六）</w:t>
      </w:r>
      <w:r>
        <w:rPr>
          <w:rFonts w:hint="default" w:ascii="方正仿宋_GBK" w:hAnsi="方正仿宋_GBK" w:eastAsia="方正仿宋_GBK" w:cs="方正仿宋_GBK"/>
          <w:b/>
          <w:bCs/>
          <w:color w:val="000000"/>
          <w:sz w:val="24"/>
          <w:szCs w:val="24"/>
          <w:lang w:val="en-US" w:eastAsia="zh-CN"/>
        </w:rPr>
        <w:t>提供所投机型在重庆的用户名单、联系人及联系电话</w:t>
      </w:r>
      <w:r>
        <w:rPr>
          <w:rFonts w:hint="eastAsia" w:ascii="方正仿宋_GBK" w:hAnsi="方正仿宋_GBK" w:eastAsia="方正仿宋_GBK" w:cs="方正仿宋_GBK"/>
          <w:b/>
          <w:bCs/>
          <w:color w:val="000000"/>
          <w:sz w:val="24"/>
          <w:szCs w:val="24"/>
          <w:lang w:val="en-US" w:eastAsia="zh-CN"/>
        </w:rPr>
        <w:t>（其他区域业绩也可）。</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（七）知识产权</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highlight w:val="red"/>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（八）其他未尽事宜由双方在采购合同中详细约定。</w:t>
      </w:r>
    </w:p>
    <w:p>
      <w:pPr>
        <w:keepNext/>
        <w:keepLines/>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六、采购程序、评定成交的标准、无效谈判及采购终止</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none"/>
          <w:u w:val="none"/>
          <w:lang w:val="en-US" w:eastAsia="zh-CN"/>
        </w:rPr>
      </w:pPr>
      <w:r>
        <w:rPr>
          <w:rFonts w:hint="eastAsia" w:ascii="方正仿宋_GBK" w:hAnsi="方正仿宋_GBK" w:eastAsia="方正仿宋_GBK" w:cs="方正仿宋_GBK"/>
          <w:color w:val="000000"/>
          <w:sz w:val="24"/>
          <w:szCs w:val="24"/>
          <w:highlight w:val="none"/>
          <w:u w:val="none"/>
          <w:lang w:val="en-US" w:eastAsia="zh-CN"/>
        </w:rPr>
        <w:t>（一）采购程序</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1.谈判按谈判文件规定的时间和地点进行。供应商须有法定代表人（或其授权代表）或自然人参加并签到。</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宋体" w:eastAsia="方正仿宋_GBK"/>
          <w:sz w:val="24"/>
          <w:szCs w:val="24"/>
        </w:rPr>
      </w:pP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宋体" w:eastAsia="方正仿宋_GBK"/>
          <w:sz w:val="24"/>
          <w:szCs w:val="24"/>
          <w:lang w:val="en-US" w:eastAsia="zh-CN"/>
        </w:rPr>
        <w:t>本项目谈判小组</w:t>
      </w:r>
      <w:r>
        <w:rPr>
          <w:rFonts w:hint="eastAsia" w:ascii="方正仿宋_GBK" w:hAnsi="宋体" w:eastAsia="方正仿宋_GBK"/>
          <w:sz w:val="24"/>
          <w:szCs w:val="24"/>
        </w:rPr>
        <w:t>对各供应商的资格条件、实质性响应等进行审查。</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2.1资格性审查内容如下：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0"/>
        <w:gridCol w:w="2692"/>
        <w:gridCol w:w="5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675"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序号</w:t>
            </w:r>
          </w:p>
        </w:tc>
        <w:tc>
          <w:tcPr>
            <w:tcW w:w="3402" w:type="dxa"/>
            <w:gridSpan w:val="2"/>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检查因素</w:t>
            </w:r>
          </w:p>
        </w:tc>
        <w:tc>
          <w:tcPr>
            <w:tcW w:w="5551" w:type="dxa"/>
            <w:vAlign w:val="center"/>
          </w:tcPr>
          <w:p>
            <w:pPr>
              <w:spacing w:line="240" w:lineRule="exact"/>
              <w:jc w:val="center"/>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trPr>
        <w:tc>
          <w:tcPr>
            <w:tcW w:w="675" w:type="dxa"/>
            <w:vMerge w:val="restart"/>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p>
        </w:tc>
        <w:tc>
          <w:tcPr>
            <w:tcW w:w="710" w:type="dxa"/>
            <w:vMerge w:val="restart"/>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供应商应符合的基本资格条件</w:t>
            </w: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1）具有独立承担民事责任的能力</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 xml:space="preserve">法人营业执照（副本）或事业单位法人证书（副本）； </w:t>
            </w:r>
          </w:p>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lang w:val="en-US" w:eastAsia="zh-CN"/>
              </w:rPr>
              <w:t>供应商</w:t>
            </w:r>
            <w:r>
              <w:rPr>
                <w:rFonts w:hint="eastAsia" w:ascii="方正仿宋_GBK" w:hAnsi="方正仿宋_GBK" w:eastAsia="方正仿宋_GBK" w:cs="方正仿宋_GBK"/>
                <w:color w:val="000000"/>
                <w:sz w:val="21"/>
                <w:szCs w:val="21"/>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2）具有良好的商业信誉和健全的财务会计制度</w:t>
            </w:r>
          </w:p>
        </w:tc>
        <w:tc>
          <w:tcPr>
            <w:tcW w:w="5551" w:type="dxa"/>
            <w:vMerge w:val="restart"/>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仿宋" w:eastAsia="方正仿宋_GBK"/>
                <w:sz w:val="21"/>
                <w:szCs w:val="21"/>
              </w:rPr>
              <w:t>供应商提供“基本资格条件承诺函”（格式</w:t>
            </w:r>
            <w:r>
              <w:rPr>
                <w:rFonts w:hint="eastAsia" w:ascii="方正仿宋_GBK" w:hAnsi="仿宋" w:eastAsia="方正仿宋_GBK"/>
                <w:sz w:val="21"/>
                <w:szCs w:val="21"/>
                <w:lang w:val="en-US" w:eastAsia="zh-CN"/>
              </w:rPr>
              <w:t>详见附页</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3）具有履行合同所必需的设备和专业技术能力</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4）有依法缴纳税收和社会保障金的良好记录</w:t>
            </w:r>
          </w:p>
        </w:tc>
        <w:tc>
          <w:tcPr>
            <w:tcW w:w="5551" w:type="dxa"/>
            <w:vMerge w:val="continue"/>
            <w:vAlign w:val="center"/>
          </w:tcPr>
          <w:p>
            <w:pP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6"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5）参加政府采购活动前三年内，在经营活动中没有重大违法记录</w:t>
            </w:r>
          </w:p>
        </w:tc>
        <w:tc>
          <w:tcPr>
            <w:tcW w:w="5551" w:type="dxa"/>
            <w:vMerge w:val="continue"/>
            <w:vAlign w:val="center"/>
          </w:tcPr>
          <w:p>
            <w:pPr>
              <w:spacing w:line="240" w:lineRule="exact"/>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675" w:type="dxa"/>
            <w:vMerge w:val="continue"/>
            <w:vAlign w:val="center"/>
          </w:tcPr>
          <w:p>
            <w:pPr>
              <w:spacing w:line="240" w:lineRule="exact"/>
              <w:jc w:val="center"/>
              <w:rPr>
                <w:rFonts w:hint="eastAsia" w:ascii="方正仿宋_GBK" w:hAnsi="方正仿宋_GBK" w:eastAsia="方正仿宋_GBK" w:cs="方正仿宋_GBK"/>
                <w:color w:val="000000"/>
                <w:sz w:val="24"/>
                <w:szCs w:val="24"/>
              </w:rPr>
            </w:pPr>
          </w:p>
        </w:tc>
        <w:tc>
          <w:tcPr>
            <w:tcW w:w="710" w:type="dxa"/>
            <w:vMerge w:val="continue"/>
            <w:vAlign w:val="center"/>
          </w:tcPr>
          <w:p>
            <w:pPr>
              <w:spacing w:line="240" w:lineRule="exact"/>
              <w:rPr>
                <w:rFonts w:hint="eastAsia" w:ascii="方正仿宋_GBK" w:hAnsi="方正仿宋_GBK" w:eastAsia="方正仿宋_GBK" w:cs="方正仿宋_GBK"/>
                <w:color w:val="000000"/>
                <w:sz w:val="24"/>
                <w:szCs w:val="24"/>
              </w:rPr>
            </w:pPr>
          </w:p>
        </w:tc>
        <w:tc>
          <w:tcPr>
            <w:tcW w:w="2692"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6）法律、行政法规规定的其他条件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675" w:type="dxa"/>
            <w:vAlign w:val="center"/>
          </w:tcPr>
          <w:p>
            <w:pPr>
              <w:spacing w:line="240" w:lineRule="exact"/>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p>
        </w:tc>
        <w:tc>
          <w:tcPr>
            <w:tcW w:w="3402" w:type="dxa"/>
            <w:gridSpan w:val="2"/>
            <w:vAlign w:val="center"/>
          </w:tcPr>
          <w:p>
            <w:pPr>
              <w:spacing w:line="24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特定资格条件</w:t>
            </w:r>
          </w:p>
        </w:tc>
        <w:tc>
          <w:tcPr>
            <w:tcW w:w="5551" w:type="dxa"/>
            <w:vAlign w:val="center"/>
          </w:tcPr>
          <w:p>
            <w:pPr>
              <w:spacing w:line="240" w:lineRule="exac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按“三、供应商</w:t>
            </w:r>
            <w:r>
              <w:rPr>
                <w:rFonts w:hint="eastAsia" w:ascii="方正仿宋_GBK" w:hAnsi="方正仿宋_GBK" w:eastAsia="方正仿宋_GBK" w:cs="方正仿宋_GBK"/>
                <w:color w:val="000000"/>
                <w:sz w:val="21"/>
                <w:szCs w:val="21"/>
                <w:lang w:val="en-US" w:eastAsia="zh-CN"/>
              </w:rPr>
              <w:t>的</w:t>
            </w:r>
            <w:r>
              <w:rPr>
                <w:rFonts w:hint="eastAsia" w:ascii="方正仿宋_GBK" w:hAnsi="方正仿宋_GBK" w:eastAsia="方正仿宋_GBK" w:cs="方正仿宋_GBK"/>
                <w:color w:val="000000"/>
                <w:sz w:val="21"/>
                <w:szCs w:val="21"/>
              </w:rPr>
              <w:t>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w:t>
            </w:r>
            <w:r>
              <w:rPr>
                <w:rFonts w:hint="eastAsia" w:ascii="方正仿宋_GBK" w:hAnsi="方正仿宋_GBK" w:eastAsia="方正仿宋_GBK" w:cs="方正仿宋_GBK"/>
                <w:color w:val="000000"/>
                <w:sz w:val="21"/>
                <w:szCs w:val="21"/>
                <w:lang w:val="en-US" w:eastAsia="zh-CN"/>
              </w:rPr>
              <w:t>二</w:t>
            </w:r>
            <w:r>
              <w:rPr>
                <w:rFonts w:hint="eastAsia" w:ascii="方正仿宋_GBK" w:hAnsi="方正仿宋_GBK" w:eastAsia="方正仿宋_GBK" w:cs="方正仿宋_GBK"/>
                <w:color w:val="000000"/>
                <w:sz w:val="21"/>
                <w:szCs w:val="21"/>
              </w:rPr>
              <w:t>）特定资格</w:t>
            </w:r>
            <w:r>
              <w:rPr>
                <w:rFonts w:hint="eastAsia" w:ascii="方正仿宋_GBK" w:hAnsi="方正仿宋_GBK" w:eastAsia="方正仿宋_GBK" w:cs="方正仿宋_GBK"/>
                <w:color w:val="000000"/>
                <w:sz w:val="21"/>
                <w:szCs w:val="21"/>
                <w:lang w:val="en-US" w:eastAsia="zh-CN"/>
              </w:rPr>
              <w:t>条件</w:t>
            </w:r>
            <w:r>
              <w:rPr>
                <w:rFonts w:hint="eastAsia" w:ascii="方正仿宋_GBK" w:hAnsi="方正仿宋_GBK" w:eastAsia="方正仿宋_GBK" w:cs="方正仿宋_GBK"/>
                <w:color w:val="000000"/>
                <w:sz w:val="21"/>
                <w:szCs w:val="21"/>
              </w:rPr>
              <w:t>”的要求提交（如果有）。</w:t>
            </w:r>
          </w:p>
        </w:tc>
      </w:tr>
    </w:tbl>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①</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按“五证合一”登记制度办理营业执照的，组织机构代码证、税务登记证（副本）和社会保险登记证以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按“三证合一”登记制度办理营业执照的，组织机构代码证和税务登记证以</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所提供的营业执照（副本）复印件为准。</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方正仿宋_GBK" w:eastAsia="方正仿宋_GBK" w:cs="方正仿宋_GBK"/>
          <w:color w:val="000000"/>
          <w:sz w:val="24"/>
          <w:szCs w:val="24"/>
        </w:rPr>
      </w:pPr>
      <w:r>
        <w:rPr>
          <w:rFonts w:hint="default" w:ascii="Calibri" w:hAnsi="Calibri" w:eastAsia="方正仿宋_GBK" w:cs="Calibri"/>
          <w:color w:val="000000"/>
          <w:sz w:val="24"/>
          <w:szCs w:val="24"/>
        </w:rPr>
        <w:t>②</w:t>
      </w:r>
      <w:r>
        <w:rPr>
          <w:rFonts w:hint="eastAsia" w:ascii="方正仿宋_GBK" w:hAnsi="方正仿宋_GBK" w:eastAsia="方正仿宋_GBK" w:cs="方正仿宋_GBK"/>
          <w:color w:val="000000"/>
          <w:sz w:val="24"/>
          <w:szCs w:val="24"/>
        </w:rPr>
        <w:t>根据《中华人民共和国政府采购法实施条例》第十九条“参加政府采购活动前三年内，在经营活动中没有重大违法记录”中“重大违法记录”，是指</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可于投标截止日期前通过 “信用中国”网站(www.creditchina.gov.cn)、"中国政府采购网"(www.ccgp.gov.cn)等渠道查询信用记录。</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实质性响应审查内容如下：</w:t>
      </w:r>
    </w:p>
    <w:tbl>
      <w:tblPr>
        <w:tblStyle w:val="1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jc w:val="center"/>
              <w:rPr>
                <w:rFonts w:hint="eastAsia"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hint="default" w:ascii="方正仿宋_GBK" w:hAnsi="宋体" w:eastAsia="方正仿宋_GBK" w:cs="宋体"/>
                <w:kern w:val="0"/>
                <w:sz w:val="21"/>
                <w:szCs w:val="21"/>
                <w:lang w:val="en-US" w:eastAsia="zh-CN"/>
              </w:rPr>
            </w:pPr>
            <w:r>
              <w:rPr>
                <w:rFonts w:hint="eastAsia" w:ascii="方正仿宋_GBK" w:hAnsi="宋体" w:eastAsia="方正仿宋_GBK"/>
                <w:sz w:val="21"/>
                <w:szCs w:val="21"/>
                <w:lang w:val="en-US" w:eastAsia="zh-CN"/>
              </w:rPr>
              <w:t>按“附页：响应文件格式要求”签署或盖章。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hint="eastAsia" w:ascii="方正仿宋_GBK" w:hAnsi="宋体" w:eastAsia="方正仿宋_GBK"/>
                <w:sz w:val="21"/>
                <w:szCs w:val="21"/>
              </w:rPr>
            </w:pPr>
            <w:r>
              <w:rPr>
                <w:rFonts w:hint="eastAsia" w:ascii="方正仿宋_GBK" w:hAnsi="宋体" w:eastAsia="方正仿宋_GBK"/>
                <w:sz w:val="21"/>
                <w:szCs w:val="21"/>
              </w:rPr>
              <w:t>法定代表人身份证明及授权委托书有效，符合谈判文件规定的格式，签署或盖章齐全。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675" w:type="dxa"/>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谈判</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jc w:val="cente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7"/>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对谈判文件规定的谈判内容进行实质性响应。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jc w:val="center"/>
              <w:rPr>
                <w:rFonts w:hint="eastAsia" w:ascii="方正仿宋_GBK" w:hAnsi="宋体" w:eastAsia="方正仿宋_GBK" w:cs="宋体"/>
                <w:kern w:val="0"/>
                <w:sz w:val="21"/>
                <w:szCs w:val="21"/>
              </w:rPr>
            </w:pPr>
          </w:p>
        </w:tc>
        <w:tc>
          <w:tcPr>
            <w:tcW w:w="2694"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谈判有效期</w:t>
            </w:r>
          </w:p>
        </w:tc>
        <w:tc>
          <w:tcPr>
            <w:tcW w:w="6259" w:type="dxa"/>
            <w:vAlign w:val="center"/>
          </w:tcPr>
          <w:p>
            <w:pPr>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4.在谈判过程中谈判的任何一方不得向他人透露与谈判有关的技术资料、价格或其他信息。</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5.供应商在谈判时作出的所有书面承诺须由法定代表人（或其授权代表）或自然人（供应商为自然人）签署。</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6.</w:t>
      </w:r>
      <w:r>
        <w:rPr>
          <w:rFonts w:hint="default" w:ascii="方正仿宋_GBK" w:hAnsi="宋体" w:eastAsia="方正仿宋_GBK"/>
          <w:sz w:val="24"/>
          <w:szCs w:val="24"/>
          <w:lang w:val="en-US" w:eastAsia="zh-CN"/>
        </w:rPr>
        <w:t>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7.</w:t>
      </w:r>
      <w:r>
        <w:rPr>
          <w:rFonts w:hint="default" w:ascii="方正仿宋_GBK" w:hAnsi="宋体" w:eastAsia="方正仿宋_GBK"/>
          <w:sz w:val="24"/>
          <w:szCs w:val="24"/>
          <w:lang w:val="en-US" w:eastAsia="zh-CN"/>
        </w:rPr>
        <w:t>评审的依据为谈判文件和响应文件（含有效的补充文件）。谈判小组判断响应文件对谈判文件的响应，仅基于响应文件本身而不靠外部证据。</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（二）评定成交的标准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谈判小组将依照本谈判文件相关规定对技术（</w:t>
      </w:r>
      <w:r>
        <w:rPr>
          <w:rFonts w:hint="eastAsia" w:ascii="方正仿宋_GBK" w:hAnsi="宋体" w:eastAsia="方正仿宋_GBK"/>
          <w:sz w:val="24"/>
          <w:szCs w:val="24"/>
          <w:lang w:val="en-US" w:eastAsia="zh-CN"/>
        </w:rPr>
        <w:t>质量</w:t>
      </w:r>
      <w:r>
        <w:rPr>
          <w:rFonts w:hint="eastAsia" w:ascii="方正仿宋_GBK" w:hAnsi="宋体" w:eastAsia="方正仿宋_GBK"/>
          <w:sz w:val="24"/>
          <w:szCs w:val="24"/>
        </w:rPr>
        <w:t>）和</w:t>
      </w:r>
      <w:r>
        <w:rPr>
          <w:rFonts w:hint="eastAsia" w:ascii="方正仿宋_GBK" w:hAnsi="宋体" w:eastAsia="方正仿宋_GBK"/>
          <w:sz w:val="24"/>
          <w:szCs w:val="24"/>
          <w:lang w:val="en-US" w:eastAsia="zh-CN"/>
        </w:rPr>
        <w:t>商务</w:t>
      </w:r>
      <w:r>
        <w:rPr>
          <w:rFonts w:hint="eastAsia" w:ascii="方正仿宋_GBK" w:hAnsi="宋体" w:eastAsia="方正仿宋_GBK"/>
          <w:sz w:val="24"/>
          <w:szCs w:val="24"/>
        </w:rPr>
        <w:t>均能满足谈判实质性响应要求的供应商所提交的最后报价</w:t>
      </w:r>
      <w:r>
        <w:rPr>
          <w:rFonts w:hint="eastAsia" w:ascii="方正仿宋_GBK" w:hAnsi="宋体" w:eastAsia="方正仿宋_GBK"/>
          <w:sz w:val="24"/>
          <w:szCs w:val="24"/>
          <w:lang w:val="en-US" w:eastAsia="zh-CN"/>
        </w:rPr>
        <w:t>由低到高</w:t>
      </w:r>
      <w:r>
        <w:rPr>
          <w:rFonts w:hint="eastAsia" w:ascii="方正仿宋_GBK" w:hAnsi="宋体" w:eastAsia="方正仿宋_GBK"/>
          <w:sz w:val="24"/>
          <w:szCs w:val="24"/>
        </w:rPr>
        <w:t>进行</w:t>
      </w:r>
      <w:r>
        <w:rPr>
          <w:rFonts w:hint="eastAsia" w:ascii="方正仿宋_GBK" w:hAnsi="宋体" w:eastAsia="方正仿宋_GBK"/>
          <w:sz w:val="24"/>
          <w:szCs w:val="24"/>
          <w:lang w:val="en-US" w:eastAsia="zh-CN"/>
        </w:rPr>
        <w:t>排序</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评出成交候选供应商。</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（三）无效谈判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供应商发生以下条款情况之一者，视为无效谈判：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1.供应商不符合规定的资格条件的；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2.供应商未通过实质性响应审查的；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3.供应商的法定代表人（或其授权代表）或自然人未参加谈判的；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4.供应商所提交的响应文件未按“附页：响应文件格式要求”要求签署或盖章的；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5.供应商的最后报价超过采购预算或最高限价的；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6.单位负责人为同一人或者存在直接控股、管理关系的不同供应商，参加同一合同项（包）谈判的；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7.为采购项目提供整体设计、规范编制或者项目管理、监理、检测等服务的供应商再参加该采购项目的其他采购活动的；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8.同一合同项（包）下的货物，制造商参与谈判，再委托代理商参与谈判的；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9.供应商响应文件内容有与国家现行法律法规相违背的内容，或附有采购人无法接受条件的；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10.法律、法规和谈判文件规定的其他无效情形。</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（四）采购终止</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出现下列情形之一的，采购人应当终止谈判采购活动，发布项目终止公告并说明原因，重新开展采购活动：</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1.因情况变化，不再符合规定的谈判采购方式适用情形的；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2.出现影响采购公正的违法、违规行为的；</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3.因重大变故，采购任务取消的。</w:t>
      </w:r>
    </w:p>
    <w:p>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七、有关说明</w:t>
      </w:r>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内容。</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文件公告期限：自公告发布之日起三个工作日。</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8:30-17:00</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w:t>
      </w:r>
      <w:r>
        <w:rPr>
          <w:rFonts w:hint="eastAsia" w:ascii="方正仿宋_GBK" w:hAnsi="方正仿宋_GBK" w:eastAsia="方正仿宋_GBK" w:cs="方正仿宋_GBK"/>
          <w:color w:val="000000"/>
          <w:sz w:val="24"/>
          <w:szCs w:val="24"/>
          <w:lang w:val="en-US" w:eastAsia="zh-CN"/>
        </w:rPr>
        <w:t>电话</w:t>
      </w:r>
      <w:r>
        <w:rPr>
          <w:rFonts w:hint="eastAsia" w:ascii="方正仿宋_GBK" w:hAnsi="方正仿宋_GBK" w:eastAsia="方正仿宋_GBK" w:cs="方正仿宋_GBK"/>
          <w:color w:val="000000"/>
          <w:sz w:val="24"/>
          <w:szCs w:val="24"/>
          <w:lang w:eastAsia="zh-CN"/>
        </w:rPr>
        <w:t>形式告之</w:t>
      </w:r>
      <w:r>
        <w:rPr>
          <w:rFonts w:hint="eastAsia" w:ascii="方正仿宋_GBK" w:hAnsi="方正仿宋_GBK" w:eastAsia="方正仿宋_GBK" w:cs="方正仿宋_GBK"/>
          <w:color w:val="000000"/>
          <w:sz w:val="24"/>
          <w:szCs w:val="24"/>
          <w:lang w:val="en-US" w:eastAsia="zh-CN"/>
        </w:rPr>
        <w:t>成交供应商</w:t>
      </w:r>
      <w:r>
        <w:rPr>
          <w:rFonts w:hint="eastAsia" w:ascii="方正仿宋_GBK" w:hAnsi="方正仿宋_GBK" w:eastAsia="方正仿宋_GBK" w:cs="方正仿宋_GBK"/>
          <w:color w:val="000000"/>
          <w:sz w:val="24"/>
          <w:szCs w:val="24"/>
          <w:lang w:eastAsia="zh-CN"/>
        </w:rPr>
        <w:t>，并在</w:t>
      </w:r>
      <w:r>
        <w:rPr>
          <w:rFonts w:hint="eastAsia" w:ascii="方正仿宋_GBK" w:hAnsi="方正仿宋_GBK" w:eastAsia="方正仿宋_GBK" w:cs="方正仿宋_GBK"/>
          <w:color w:val="000000"/>
          <w:sz w:val="24"/>
          <w:szCs w:val="24"/>
          <w:lang w:val="en-US" w:eastAsia="zh-CN"/>
        </w:rPr>
        <w:t>“重庆市急救医疗中心”网站（www.120cq.com.cn）</w:t>
      </w:r>
      <w:r>
        <w:rPr>
          <w:rFonts w:hint="eastAsia" w:ascii="方正仿宋_GBK" w:hAnsi="方正仿宋_GBK" w:eastAsia="方正仿宋_GBK" w:cs="方正仿宋_GBK"/>
          <w:color w:val="000000"/>
          <w:sz w:val="24"/>
          <w:szCs w:val="24"/>
          <w:lang w:eastAsia="zh-CN"/>
        </w:rPr>
        <w:t>上发布结果公告。</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解释</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失败原因，</w:t>
      </w:r>
      <w:r>
        <w:rPr>
          <w:rFonts w:hint="eastAsia" w:ascii="方正仿宋_GBK" w:hAnsi="方正仿宋_GBK" w:eastAsia="方正仿宋_GBK" w:cs="方正仿宋_GBK"/>
          <w:color w:val="000000"/>
          <w:sz w:val="24"/>
          <w:szCs w:val="24"/>
          <w:lang w:val="en-US" w:eastAsia="zh-CN"/>
        </w:rPr>
        <w:t>响应</w:t>
      </w:r>
      <w:r>
        <w:rPr>
          <w:rFonts w:hint="eastAsia" w:ascii="方正仿宋_GBK" w:hAnsi="方正仿宋_GBK" w:eastAsia="方正仿宋_GBK" w:cs="方正仿宋_GBK"/>
          <w:color w:val="000000"/>
          <w:sz w:val="24"/>
          <w:szCs w:val="24"/>
          <w:lang w:eastAsia="zh-CN"/>
        </w:rPr>
        <w:t>文件概不退还</w:t>
      </w:r>
      <w:r>
        <w:rPr>
          <w:rFonts w:hint="eastAsia" w:ascii="方正仿宋_GBK" w:hAnsi="方正仿宋_GBK" w:eastAsia="方正仿宋_GBK" w:cs="方正仿宋_GBK"/>
          <w:color w:val="000000"/>
          <w:sz w:val="24"/>
          <w:szCs w:val="24"/>
        </w:rPr>
        <w:t>。</w:t>
      </w:r>
      <w:bookmarkStart w:id="18" w:name="_Toc13490"/>
      <w:bookmarkStart w:id="19" w:name="_Toc6933"/>
      <w:bookmarkStart w:id="20" w:name="_Toc527828387"/>
      <w:bookmarkStart w:id="21" w:name="_Toc21862"/>
      <w:bookmarkStart w:id="22" w:name="_Toc31810"/>
      <w:bookmarkStart w:id="23" w:name="_Toc22978"/>
      <w:bookmarkStart w:id="24" w:name="_Toc517367960"/>
      <w:bookmarkStart w:id="25" w:name="_Toc31639"/>
      <w:bookmarkStart w:id="26" w:name="_Toc8132"/>
      <w:bookmarkStart w:id="27" w:name="_Toc517368027"/>
    </w:p>
    <w:p>
      <w:pPr>
        <w:pStyle w:val="8"/>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八</w:t>
      </w:r>
      <w:r>
        <w:rPr>
          <w:rFonts w:hint="eastAsia" w:ascii="方正仿宋_GBK" w:hAnsi="方正仿宋_GBK" w:eastAsia="方正仿宋_GBK" w:cs="方正仿宋_GBK"/>
          <w:b/>
          <w:bCs/>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b/>
          <w:bCs/>
          <w:color w:val="000000"/>
          <w:sz w:val="24"/>
          <w:szCs w:val="24"/>
          <w:lang w:val="en-US" w:eastAsia="zh-CN"/>
        </w:rPr>
        <w:t>供应商须知</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响应文件</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b/>
          <w:bCs/>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谈判文件</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附页：响应文件格式要求</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的规定</w:t>
      </w:r>
      <w:r>
        <w:rPr>
          <w:rFonts w:hint="eastAsia" w:ascii="方正仿宋_GBK" w:hAnsi="方正仿宋_GBK" w:eastAsia="方正仿宋_GBK" w:cs="方正仿宋_GBK"/>
          <w:color w:val="000000"/>
          <w:sz w:val="24"/>
          <w:szCs w:val="24"/>
          <w:lang w:eastAsia="zh-CN"/>
        </w:rPr>
        <w:t>编制响应文件，并对</w:t>
      </w:r>
      <w:r>
        <w:rPr>
          <w:rFonts w:hint="eastAsia" w:ascii="方正仿宋_GBK" w:hAnsi="方正仿宋_GBK" w:eastAsia="方正仿宋_GBK" w:cs="方正仿宋_GBK"/>
          <w:color w:val="000000"/>
          <w:sz w:val="24"/>
          <w:szCs w:val="24"/>
          <w:lang w:val="en-US" w:eastAsia="zh-CN"/>
        </w:rPr>
        <w:t>文件中</w:t>
      </w:r>
      <w:r>
        <w:rPr>
          <w:rFonts w:hint="eastAsia" w:ascii="方正仿宋_GBK" w:hAnsi="方正仿宋_GBK" w:eastAsia="方正仿宋_GBK" w:cs="方正仿宋_GBK"/>
          <w:color w:val="000000"/>
          <w:sz w:val="24"/>
          <w:szCs w:val="24"/>
          <w:lang w:eastAsia="zh-CN"/>
        </w:rPr>
        <w:t>提出的要求和条件做出实质性响应，编制</w:t>
      </w:r>
      <w:r>
        <w:rPr>
          <w:rFonts w:hint="eastAsia" w:ascii="方正仿宋_GBK" w:hAnsi="方正仿宋_GBK" w:eastAsia="方正仿宋_GBK" w:cs="方正仿宋_GBK"/>
          <w:color w:val="000000"/>
          <w:sz w:val="24"/>
          <w:szCs w:val="24"/>
          <w:lang w:val="en-US" w:eastAsia="zh-CN"/>
        </w:rPr>
        <w:t>技术（质量）</w:t>
      </w:r>
      <w:r>
        <w:rPr>
          <w:rFonts w:hint="eastAsia" w:ascii="方正仿宋_GBK" w:hAnsi="方正仿宋_GBK" w:eastAsia="方正仿宋_GBK" w:cs="方正仿宋_GBK"/>
          <w:color w:val="000000"/>
          <w:sz w:val="24"/>
          <w:szCs w:val="24"/>
          <w:lang w:eastAsia="zh-CN"/>
        </w:rPr>
        <w:t>、商务条款差异表，</w:t>
      </w:r>
      <w:r>
        <w:rPr>
          <w:rFonts w:hint="eastAsia" w:ascii="方正仿宋_GBK" w:hAnsi="方正仿宋_GBK" w:eastAsia="方正仿宋_GBK" w:cs="方正仿宋_GBK"/>
          <w:b/>
          <w:bCs/>
          <w:color w:val="000000"/>
          <w:sz w:val="24"/>
          <w:szCs w:val="24"/>
          <w:lang w:eastAsia="zh-CN"/>
        </w:rPr>
        <w:t>响应文件</w:t>
      </w:r>
      <w:r>
        <w:rPr>
          <w:rFonts w:hint="eastAsia" w:ascii="方正仿宋_GBK" w:hAnsi="方正仿宋_GBK" w:eastAsia="方正仿宋_GBK" w:cs="方正仿宋_GBK"/>
          <w:b/>
          <w:bCs/>
          <w:color w:val="000000"/>
          <w:sz w:val="24"/>
          <w:szCs w:val="24"/>
          <w:lang w:val="en-US" w:eastAsia="zh-CN"/>
        </w:rPr>
        <w:t>原则上</w:t>
      </w:r>
      <w:r>
        <w:rPr>
          <w:rFonts w:hint="eastAsia" w:ascii="方正仿宋_GBK" w:hAnsi="方正仿宋_GBK" w:eastAsia="方正仿宋_GBK" w:cs="方正仿宋_GBK"/>
          <w:b/>
          <w:bCs/>
          <w:color w:val="000000"/>
          <w:sz w:val="24"/>
          <w:szCs w:val="24"/>
          <w:lang w:eastAsia="zh-CN"/>
        </w:rPr>
        <w:t>应采用</w:t>
      </w:r>
      <w:r>
        <w:rPr>
          <w:rFonts w:hint="eastAsia" w:ascii="方正仿宋_GBK" w:hAnsi="方正仿宋_GBK" w:eastAsia="方正仿宋_GBK" w:cs="方正仿宋_GBK"/>
          <w:b/>
          <w:bCs/>
          <w:color w:val="000000"/>
          <w:sz w:val="24"/>
          <w:szCs w:val="24"/>
          <w:lang w:val="en-US" w:eastAsia="zh-CN"/>
        </w:rPr>
        <w:t>胶装</w:t>
      </w:r>
      <w:r>
        <w:rPr>
          <w:rFonts w:hint="eastAsia" w:ascii="方正仿宋_GBK" w:hAnsi="方正仿宋_GBK" w:eastAsia="方正仿宋_GBK" w:cs="方正仿宋_GBK"/>
          <w:b/>
          <w:bCs/>
          <w:color w:val="000000"/>
          <w:sz w:val="24"/>
          <w:szCs w:val="24"/>
          <w:lang w:eastAsia="zh-CN"/>
        </w:rPr>
        <w:t>方式</w:t>
      </w:r>
      <w:r>
        <w:rPr>
          <w:rFonts w:hint="eastAsia" w:ascii="方正仿宋_GBK" w:hAnsi="方正仿宋_GBK" w:eastAsia="方正仿宋_GBK" w:cs="方正仿宋_GBK"/>
          <w:b/>
          <w:bCs/>
          <w:color w:val="000000"/>
          <w:sz w:val="24"/>
          <w:szCs w:val="24"/>
          <w:lang w:val="en-US" w:eastAsia="zh-CN"/>
        </w:rPr>
        <w:t>进行装订，</w:t>
      </w:r>
      <w:r>
        <w:rPr>
          <w:rFonts w:hint="eastAsia" w:ascii="方正仿宋_GBK" w:hAnsi="方正仿宋_GBK" w:eastAsia="方正仿宋_GBK" w:cs="方正仿宋_GBK"/>
          <w:b/>
          <w:bCs/>
          <w:color w:val="000000"/>
          <w:sz w:val="24"/>
          <w:szCs w:val="24"/>
          <w:lang w:eastAsia="zh-CN"/>
        </w:rPr>
        <w:t>同时编制完整的页码、目录。</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在响应文件正本中，谈判文件“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）关于质疑和投诉</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质疑内容、时限</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1</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认为采购文件、采购过程、成交结果使自己的权益受到损害的，可以在知道或者应知其权益受到损害之日起7个工作日内，以书面形式向采购人提出质疑。供应商应在法定质疑期内一次性提出针对同一采购程序环节的质疑。</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lang w:eastAsia="zh-CN"/>
        </w:rPr>
        <w:t>供应商提出质疑应当提交质疑函和必要的证明材料。</w:t>
      </w:r>
    </w:p>
    <w:p>
      <w:pPr>
        <w:pStyle w:val="8"/>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1.3</w:t>
      </w:r>
      <w:r>
        <w:rPr>
          <w:rFonts w:hint="eastAsia" w:ascii="方正仿宋_GBK" w:hAnsi="方正仿宋_GBK" w:eastAsia="方正仿宋_GBK" w:cs="方正仿宋_GBK"/>
          <w:color w:val="000000"/>
          <w:sz w:val="24"/>
          <w:szCs w:val="24"/>
          <w:lang w:eastAsia="zh-CN"/>
        </w:rPr>
        <w:t>供应商为法人或者其他组织的，质疑函应当由法定代表人、主要负责人，或者其授权代表签字或者盖章，并加盖公章。</w:t>
      </w:r>
    </w:p>
    <w:p>
      <w:pPr>
        <w:pStyle w:val="8"/>
        <w:pageBreakBefore w:val="0"/>
        <w:widowControl w:val="0"/>
        <w:numPr>
          <w:ilvl w:val="0"/>
          <w:numId w:val="2"/>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质疑答复时限</w:t>
      </w:r>
    </w:p>
    <w:p>
      <w:pPr>
        <w:pStyle w:val="8"/>
        <w:pageBreakBefore w:val="0"/>
        <w:widowControl w:val="0"/>
        <w:numPr>
          <w:ilvl w:val="0"/>
          <w:numId w:val="0"/>
        </w:numPr>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采购人应当在收到供应商的书面质疑后7个工作日内作出答复。</w:t>
      </w:r>
    </w:p>
    <w:p>
      <w:pPr>
        <w:pStyle w:val="8"/>
        <w:pageBreakBefore w:val="0"/>
        <w:widowControl w:val="0"/>
        <w:numPr>
          <w:ilvl w:val="0"/>
          <w:numId w:val="2"/>
        </w:numPr>
        <w:kinsoku/>
        <w:wordWrap/>
        <w:overflowPunct/>
        <w:topLinePunct w:val="0"/>
        <w:autoSpaceDE/>
        <w:autoSpaceDN/>
        <w:bidi w:val="0"/>
        <w:adjustRightInd/>
        <w:spacing w:line="480" w:lineRule="exact"/>
        <w:ind w:left="0"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投诉</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供应商对采购人的答复不满意，或者采购人未在规定时间内答复的，可以在答复期满后15个工作日内向医院相关部门提出投诉。</w:t>
      </w:r>
    </w:p>
    <w:p>
      <w:pPr>
        <w:pStyle w:val="8"/>
        <w:keepNext w:val="0"/>
        <w:keepLines w:val="0"/>
        <w:pageBreakBefore w:val="0"/>
        <w:widowControl w:val="0"/>
        <w:numPr>
          <w:ilvl w:val="0"/>
          <w:numId w:val="3"/>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签订合同</w:t>
      </w:r>
    </w:p>
    <w:p>
      <w:pPr>
        <w:pStyle w:val="8"/>
        <w:keepNext w:val="0"/>
        <w:keepLines w:val="0"/>
        <w:pageBreakBefore w:val="0"/>
        <w:widowControl w:val="0"/>
        <w:numPr>
          <w:ilvl w:val="0"/>
          <w:numId w:val="4"/>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采购人应当在规定时间内，按照</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文件和成交供应商响应文件的约定，与成交供应商签订书面合同。所签订的合同不得对</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eastAsia="zh-CN"/>
        </w:rPr>
        <w:t>文件和成交供应商响应文件作实质性修改。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2.谈判</w:t>
      </w:r>
      <w:r>
        <w:rPr>
          <w:rFonts w:hint="eastAsia" w:ascii="方正仿宋_GBK" w:hAnsi="方正仿宋_GBK" w:eastAsia="方正仿宋_GBK" w:cs="方正仿宋_GBK"/>
          <w:color w:val="000000"/>
          <w:sz w:val="24"/>
          <w:szCs w:val="24"/>
          <w:lang w:eastAsia="zh-CN"/>
        </w:rPr>
        <w:t>文件、成交供应商的响应文件及澄清文件等，均为签订采购合同的依据。</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合同生效条款由供需双方约定，法律、行政法规规定应当办理批准、登记等手续后生效的合同，依照其规定。</w:t>
      </w:r>
      <w:bookmarkStart w:id="28" w:name="_Toc16951"/>
      <w:bookmarkStart w:id="29" w:name="_Toc517368028"/>
      <w:bookmarkStart w:id="30" w:name="_Toc20734"/>
      <w:bookmarkStart w:id="31" w:name="_Toc517367961"/>
      <w:bookmarkStart w:id="32" w:name="_Toc15317"/>
      <w:bookmarkStart w:id="33" w:name="_Toc1495"/>
      <w:bookmarkStart w:id="34" w:name="_Toc527828388"/>
      <w:bookmarkStart w:id="35" w:name="_Toc24167"/>
      <w:bookmarkStart w:id="36" w:name="_Toc24060"/>
      <w:bookmarkStart w:id="37" w:name="_Toc2188"/>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t>九</w:t>
      </w:r>
      <w:r>
        <w:rPr>
          <w:rFonts w:hint="eastAsia" w:ascii="方正仿宋_GBK" w:hAnsi="方正仿宋_GBK" w:eastAsia="方正仿宋_GBK" w:cs="方正仿宋_GBK"/>
          <w:b/>
          <w:bCs/>
          <w:color w:val="000000"/>
          <w:sz w:val="24"/>
          <w:szCs w:val="24"/>
        </w:rPr>
        <w:t>、</w:t>
      </w:r>
      <w:bookmarkEnd w:id="28"/>
      <w:r>
        <w:rPr>
          <w:rFonts w:hint="eastAsia" w:ascii="方正仿宋_GBK" w:hAnsi="方正仿宋_GBK" w:eastAsia="方正仿宋_GBK" w:cs="方正仿宋_GBK"/>
          <w:b/>
          <w:bCs/>
          <w:color w:val="000000"/>
          <w:sz w:val="24"/>
          <w:szCs w:val="24"/>
        </w:rPr>
        <w:t>其它有关规定</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本项目的补遗文件（如果有）一律在“重庆市急救医疗中心”网站（www.</w:t>
      </w:r>
      <w:r>
        <w:rPr>
          <w:rFonts w:hint="eastAsia" w:ascii="方正仿宋_GBK" w:hAnsi="方正仿宋_GBK" w:eastAsia="方正仿宋_GBK" w:cs="方正仿宋_GBK"/>
          <w:color w:val="000000"/>
          <w:sz w:val="24"/>
          <w:szCs w:val="24"/>
          <w:lang w:eastAsia="zh-CN"/>
        </w:rPr>
        <w:t>120cq</w:t>
      </w:r>
      <w:r>
        <w:rPr>
          <w:rFonts w:hint="eastAsia" w:ascii="方正仿宋_GBK" w:hAnsi="方正仿宋_GBK" w:eastAsia="方正仿宋_GBK" w:cs="方正仿宋_GBK"/>
          <w:color w:val="000000"/>
          <w:sz w:val="24"/>
          <w:szCs w:val="24"/>
        </w:rPr>
        <w:t>.com.cn）上发布，请各供应商注意下载；无论供应商下载与否，均视同已知晓本项目补遗文件（如果有）的内容。</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本项目不接受联合体参与谈判。</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keepNext/>
        <w:keepLines/>
        <w:pageBreakBefore w:val="0"/>
        <w:widowControl w:val="0"/>
        <w:kinsoku/>
        <w:wordWrap/>
        <w:overflowPunct/>
        <w:topLinePunct w:val="0"/>
        <w:autoSpaceDE/>
        <w:autoSpaceDN/>
        <w:bidi w:val="0"/>
        <w:adjustRightInd/>
        <w:spacing w:line="480" w:lineRule="exact"/>
        <w:ind w:leftChars="0" w:firstLine="482" w:firstLineChars="200"/>
        <w:textAlignment w:val="auto"/>
        <w:rPr>
          <w:rFonts w:hint="eastAsia" w:ascii="方正仿宋_GBK" w:hAnsi="方正仿宋_GBK" w:eastAsia="方正仿宋_GBK" w:cs="方正仿宋_GBK"/>
          <w:b/>
          <w:bCs/>
          <w:color w:val="000000"/>
          <w:sz w:val="24"/>
          <w:szCs w:val="24"/>
        </w:rPr>
      </w:pPr>
      <w:bookmarkStart w:id="38" w:name="_Toc16527"/>
      <w:r>
        <w:rPr>
          <w:rFonts w:hint="eastAsia" w:ascii="方正仿宋_GBK" w:hAnsi="方正仿宋_GBK" w:eastAsia="方正仿宋_GBK" w:cs="方正仿宋_GBK"/>
          <w:b/>
          <w:bCs/>
          <w:color w:val="000000"/>
          <w:sz w:val="24"/>
          <w:szCs w:val="24"/>
          <w:lang w:val="en-US" w:eastAsia="zh-CN"/>
        </w:rPr>
        <w:t>十</w:t>
      </w:r>
      <w:r>
        <w:rPr>
          <w:rFonts w:hint="eastAsia" w:ascii="方正仿宋_GBK" w:hAnsi="方正仿宋_GBK" w:eastAsia="方正仿宋_GBK" w:cs="方正仿宋_GBK"/>
          <w:b/>
          <w:bCs/>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李老师</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电  话：（023）</w:t>
      </w:r>
      <w:r>
        <w:rPr>
          <w:rFonts w:hint="eastAsia" w:ascii="方正仿宋_GBK" w:hAnsi="方正仿宋_GBK" w:eastAsia="方正仿宋_GBK" w:cs="方正仿宋_GBK"/>
          <w:color w:val="000000"/>
          <w:sz w:val="24"/>
          <w:szCs w:val="24"/>
          <w:lang w:val="en-US" w:eastAsia="zh-CN"/>
        </w:rPr>
        <w:t>63692226</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w:t>
      </w:r>
      <w:r>
        <w:rPr>
          <w:rFonts w:hint="eastAsia" w:ascii="方正仿宋_GBK" w:hAnsi="方正仿宋_GBK" w:eastAsia="方正仿宋_GBK" w:cs="方正仿宋_GBK"/>
          <w:color w:val="000000"/>
          <w:sz w:val="24"/>
          <w:szCs w:val="24"/>
          <w:lang w:val="en-US" w:eastAsia="zh-CN"/>
        </w:rPr>
        <w:t>桂花园路</w:t>
      </w:r>
      <w:r>
        <w:rPr>
          <w:rFonts w:hint="eastAsia" w:ascii="方正仿宋_GBK" w:hAnsi="方正仿宋_GBK" w:eastAsia="方正仿宋_GBK" w:cs="方正仿宋_GBK"/>
          <w:color w:val="000000"/>
          <w:sz w:val="24"/>
          <w:szCs w:val="24"/>
        </w:rPr>
        <w:t>1号</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default"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lang w:val="en-US" w:eastAsia="zh-CN"/>
        </w:rPr>
        <w:t>如对技术参数或资格审核有疑问的，请咨询医学装备科雷老师</w:t>
      </w:r>
      <w:r>
        <w:rPr>
          <w:rFonts w:hint="eastAsia" w:ascii="方正仿宋_GBK" w:hAnsi="方正仿宋_GBK" w:eastAsia="方正仿宋_GBK" w:cs="方正仿宋_GBK"/>
          <w:color w:val="000000"/>
          <w:sz w:val="24"/>
          <w:szCs w:val="24"/>
          <w:highlight w:val="none"/>
          <w:lang w:val="en-US" w:eastAsia="zh-CN"/>
        </w:rPr>
        <w:t>，联系电话：（023）63692225</w:t>
      </w:r>
    </w:p>
    <w:p>
      <w:pPr>
        <w:keepNext/>
        <w:keepLines/>
        <w:pageBreakBefore w:val="0"/>
        <w:widowControl w:val="0"/>
        <w:kinsoku/>
        <w:wordWrap/>
        <w:overflowPunct/>
        <w:topLinePunct w:val="0"/>
        <w:autoSpaceDE/>
        <w:autoSpaceDN/>
        <w:bidi w:val="0"/>
        <w:adjustRightInd/>
        <w:spacing w:line="480" w:lineRule="exact"/>
        <w:ind w:leftChars="0" w:firstLine="480" w:firstLineChars="200"/>
        <w:textAlignment w:val="auto"/>
        <w:rPr>
          <w:rFonts w:hint="eastAsia" w:ascii="方正仿宋_GBK" w:hAnsi="方正仿宋_GBK" w:eastAsia="方正仿宋_GBK" w:cs="方正仿宋_GBK"/>
          <w:color w:val="000000"/>
          <w:sz w:val="24"/>
          <w:szCs w:val="24"/>
          <w:lang w:val="en-US" w:eastAsia="zh-CN"/>
        </w:rPr>
      </w:pPr>
      <w:bookmarkStart w:id="75" w:name="_GoBack"/>
      <w:bookmarkEnd w:id="75"/>
      <w:r>
        <w:rPr>
          <w:rFonts w:hint="eastAsia" w:ascii="方正仿宋_GBK" w:hAnsi="方正仿宋_GBK" w:eastAsia="方正仿宋_GBK" w:cs="方正仿宋_GBK"/>
          <w:color w:val="000000"/>
          <w:sz w:val="24"/>
          <w:szCs w:val="24"/>
          <w:lang w:val="en-US" w:eastAsia="zh-CN"/>
        </w:rPr>
        <w:br w:type="page"/>
      </w:r>
    </w:p>
    <w:p>
      <w:pP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一、经济部分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（一）报价函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二、技术（质量）部分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（二）其他资料（格式自定）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三、</w:t>
      </w:r>
      <w:r>
        <w:rPr>
          <w:rFonts w:hint="eastAsia" w:ascii="方正仿宋_GBK" w:hAnsi="宋体" w:eastAsia="方正仿宋_GBK"/>
          <w:b/>
          <w:sz w:val="24"/>
          <w:szCs w:val="24"/>
          <w:lang w:val="en-US" w:eastAsia="zh-CN"/>
        </w:rPr>
        <w:t>商务（服务）</w:t>
      </w:r>
      <w:r>
        <w:rPr>
          <w:rFonts w:hint="eastAsia" w:ascii="方正仿宋_GBK" w:hAnsi="宋体" w:eastAsia="方正仿宋_GBK"/>
          <w:b/>
          <w:sz w:val="24"/>
          <w:szCs w:val="24"/>
        </w:rPr>
        <w:t>部分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（一）商务（服务）响应偏离表</w:t>
      </w:r>
    </w:p>
    <w:p>
      <w:pPr>
        <w:pStyle w:val="8"/>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产品售后服务承诺函</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四、资格条件及其他</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（一）法人营业执照（副本）</w:t>
      </w:r>
      <w:r>
        <w:rPr>
          <w:rFonts w:hint="eastAsia" w:ascii="方正仿宋_GBK" w:hAnsi="宋体" w:eastAsia="方正仿宋_GBK"/>
          <w:sz w:val="24"/>
          <w:szCs w:val="24"/>
          <w:lang w:val="en-US" w:eastAsia="zh-CN"/>
        </w:rPr>
        <w:t>复印件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（二）法定代表人身份证明书（格式）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（三）法定代表人授权委托书（格式）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（四）基本资格条件承诺函（格式）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color w:val="auto"/>
          <w:sz w:val="24"/>
          <w:szCs w:val="24"/>
          <w:lang w:val="en-US" w:eastAsia="zh-CN"/>
        </w:rPr>
      </w:pPr>
      <w:r>
        <w:rPr>
          <w:rFonts w:hint="eastAsia" w:ascii="方正仿宋_GBK" w:hAnsi="宋体" w:eastAsia="方正仿宋_GBK"/>
          <w:sz w:val="24"/>
          <w:szCs w:val="24"/>
        </w:rPr>
        <w:t>（五）</w:t>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eastAsia="zh-CN"/>
        </w:rPr>
      </w:pP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六</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2" w:firstLineChars="200"/>
        <w:jc w:val="both"/>
        <w:textAlignment w:val="auto"/>
        <w:outlineLvl w:val="9"/>
        <w:rPr>
          <w:rFonts w:hint="eastAsia" w:ascii="方正仿宋_GBK" w:hAnsi="宋体" w:eastAsia="方正仿宋_GBK"/>
          <w:b/>
          <w:sz w:val="24"/>
          <w:szCs w:val="24"/>
        </w:rPr>
      </w:pPr>
      <w:r>
        <w:rPr>
          <w:rFonts w:hint="eastAsia" w:ascii="方正仿宋_GBK" w:hAnsi="宋体" w:eastAsia="方正仿宋_GBK"/>
          <w:b/>
          <w:sz w:val="24"/>
          <w:szCs w:val="24"/>
        </w:rPr>
        <w:t>五、其他资料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0"/>
      <w:bookmarkStart w:id="40" w:name="_Toc65660379"/>
      <w:bookmarkStart w:id="41" w:name="_Toc106034659"/>
      <w:bookmarkStart w:id="42" w:name="_Toc342913419"/>
      <w:bookmarkStart w:id="43" w:name="_Toc313008356"/>
      <w:bookmarkStart w:id="44" w:name="_Toc14244"/>
      <w:bookmarkStart w:id="45" w:name="_Toc26343"/>
      <w:bookmarkStart w:id="46" w:name="_Toc283382454"/>
      <w:bookmarkStart w:id="47" w:name="_Toc12789073"/>
      <w:r>
        <w:rPr>
          <w:rFonts w:hint="eastAsia" w:ascii="方正仿宋_GBK" w:hAnsi="宋体" w:eastAsia="方正仿宋_GBK"/>
          <w:sz w:val="24"/>
        </w:rPr>
        <w:t>一、经济部分</w:t>
      </w:r>
      <w:bookmarkEnd w:id="39"/>
      <w:bookmarkEnd w:id="40"/>
      <w:bookmarkEnd w:id="41"/>
      <w:bookmarkEnd w:id="42"/>
      <w:bookmarkEnd w:id="43"/>
      <w:bookmarkEnd w:id="44"/>
      <w:bookmarkEnd w:id="45"/>
    </w:p>
    <w:bookmarkEnd w:id="46"/>
    <w:bookmarkEnd w:id="47"/>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22" w:firstLineChars="200"/>
        <w:jc w:val="center"/>
        <w:rPr>
          <w:rFonts w:hint="eastAsia"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我方收到____________________________（谈判项目名称）的谈判文件，经详细研究，决定参加该谈判项目的谈判。</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1.愿意按照谈判文件中的一切要求，提供本项目的交货及技术服务，项目初始报价（总价）为人民币大写：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3.我方承诺：本次谈判的有效期为提交响应文件截止时间起90天。</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4.我方完全理解和接受贵方谈判文件的一切规定和要求及谈判评审办法。</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5.在整个谈判过程中，我方若有违规行为，接受按照《中华人民共和国政府采购法》和《谈判文件》之规定给予惩罚。</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hint="eastAsia"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rPr>
        <w:t>谈判项目名称：</w:t>
      </w:r>
      <w:r>
        <w:rPr>
          <w:rFonts w:hint="eastAsia" w:ascii="方正仿宋_GBK" w:hAnsi="宋体" w:eastAsia="方正仿宋_GBK"/>
          <w:sz w:val="24"/>
          <w:szCs w:val="24"/>
          <w:lang w:val="en-US" w:eastAsia="zh-CN"/>
        </w:rPr>
        <w:t xml:space="preserve">                                          单位：元</w:t>
      </w:r>
    </w:p>
    <w:tbl>
      <w:tblPr>
        <w:tblStyle w:val="1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7"/>
              <w:jc w:val="center"/>
              <w:rPr>
                <w:rFonts w:hint="eastAsia" w:ascii="方正仿宋_GBK" w:hAnsi="宋体" w:eastAsia="方正仿宋_GBK"/>
                <w:sz w:val="24"/>
                <w:szCs w:val="28"/>
              </w:rPr>
            </w:pPr>
            <w:r>
              <w:rPr>
                <w:rFonts w:hint="eastAsia" w:ascii="方正仿宋_GBK" w:hAnsi="宋体" w:eastAsia="方正仿宋_GBK"/>
                <w:sz w:val="24"/>
                <w:szCs w:val="28"/>
              </w:rPr>
              <w:t>单价</w:t>
            </w:r>
          </w:p>
        </w:tc>
        <w:tc>
          <w:tcPr>
            <w:tcW w:w="1233"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宋体" w:eastAsia="方正仿宋_GBK"/>
                <w:sz w:val="24"/>
                <w:szCs w:val="28"/>
              </w:rPr>
            </w:pPr>
          </w:p>
        </w:tc>
        <w:tc>
          <w:tcPr>
            <w:tcW w:w="1721" w:type="dxa"/>
            <w:tcBorders>
              <w:bottom w:val="single" w:color="auto" w:sz="4" w:space="0"/>
            </w:tcBorders>
            <w:vAlign w:val="center"/>
          </w:tcPr>
          <w:p>
            <w:pPr>
              <w:jc w:val="center"/>
              <w:rPr>
                <w:rFonts w:hint="eastAsia" w:ascii="方正仿宋_GBK" w:hAnsi="宋体" w:eastAsia="方正仿宋_GBK"/>
                <w:sz w:val="24"/>
                <w:szCs w:val="28"/>
              </w:rPr>
            </w:pPr>
          </w:p>
        </w:tc>
        <w:tc>
          <w:tcPr>
            <w:tcW w:w="1417" w:type="dxa"/>
            <w:tcBorders>
              <w:bottom w:val="single" w:color="auto" w:sz="4" w:space="0"/>
            </w:tcBorders>
            <w:vAlign w:val="center"/>
          </w:tcPr>
          <w:p>
            <w:pPr>
              <w:jc w:val="center"/>
              <w:rPr>
                <w:rFonts w:hint="eastAsia" w:ascii="方正仿宋_GBK" w:hAnsi="宋体" w:eastAsia="方正仿宋_GBK"/>
                <w:sz w:val="24"/>
                <w:szCs w:val="28"/>
              </w:rPr>
            </w:pPr>
          </w:p>
        </w:tc>
        <w:tc>
          <w:tcPr>
            <w:tcW w:w="1250" w:type="dxa"/>
            <w:tcBorders>
              <w:bottom w:val="single" w:color="auto" w:sz="4" w:space="0"/>
            </w:tcBorders>
            <w:vAlign w:val="center"/>
          </w:tcPr>
          <w:p>
            <w:pPr>
              <w:jc w:val="center"/>
              <w:rPr>
                <w:rFonts w:hint="eastAsia" w:ascii="方正仿宋_GBK" w:hAnsi="宋体" w:eastAsia="方正仿宋_GBK"/>
                <w:sz w:val="24"/>
                <w:szCs w:val="28"/>
              </w:rPr>
            </w:pPr>
          </w:p>
        </w:tc>
        <w:tc>
          <w:tcPr>
            <w:tcW w:w="867" w:type="dxa"/>
            <w:tcBorders>
              <w:bottom w:val="single" w:color="auto" w:sz="4" w:space="0"/>
            </w:tcBorders>
            <w:vAlign w:val="center"/>
          </w:tcPr>
          <w:p>
            <w:pPr>
              <w:jc w:val="center"/>
              <w:rPr>
                <w:rFonts w:hint="eastAsia" w:ascii="方正仿宋_GBK" w:hAnsi="宋体" w:eastAsia="方正仿宋_GBK"/>
                <w:sz w:val="24"/>
                <w:szCs w:val="28"/>
              </w:rPr>
            </w:pPr>
          </w:p>
        </w:tc>
        <w:tc>
          <w:tcPr>
            <w:tcW w:w="1186" w:type="dxa"/>
            <w:tcBorders>
              <w:bottom w:val="single" w:color="auto" w:sz="4" w:space="0"/>
            </w:tcBorders>
            <w:vAlign w:val="center"/>
          </w:tcPr>
          <w:p>
            <w:pPr>
              <w:jc w:val="center"/>
              <w:rPr>
                <w:rFonts w:hint="eastAsia" w:ascii="方正仿宋_GBK" w:hAnsi="宋体" w:eastAsia="方正仿宋_GBK"/>
                <w:sz w:val="24"/>
                <w:szCs w:val="28"/>
              </w:rPr>
            </w:pPr>
          </w:p>
        </w:tc>
        <w:tc>
          <w:tcPr>
            <w:tcW w:w="1233" w:type="dxa"/>
            <w:tcBorders>
              <w:bottom w:val="single" w:color="auto" w:sz="4" w:space="0"/>
            </w:tcBorders>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宋体" w:eastAsia="方正仿宋_GBK"/>
                <w:sz w:val="24"/>
                <w:szCs w:val="28"/>
              </w:rPr>
            </w:pPr>
          </w:p>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宋体" w:eastAsia="方正仿宋_GBK"/>
                <w:sz w:val="24"/>
                <w:szCs w:val="28"/>
              </w:rPr>
            </w:pPr>
          </w:p>
        </w:tc>
        <w:tc>
          <w:tcPr>
            <w:tcW w:w="1721" w:type="dxa"/>
            <w:vAlign w:val="center"/>
          </w:tcPr>
          <w:p>
            <w:pPr>
              <w:jc w:val="center"/>
              <w:rPr>
                <w:rFonts w:hint="eastAsia" w:ascii="方正仿宋_GBK" w:hAnsi="宋体" w:eastAsia="方正仿宋_GBK"/>
                <w:sz w:val="24"/>
                <w:szCs w:val="28"/>
              </w:rPr>
            </w:pPr>
          </w:p>
        </w:tc>
        <w:tc>
          <w:tcPr>
            <w:tcW w:w="1417" w:type="dxa"/>
            <w:vAlign w:val="center"/>
          </w:tcPr>
          <w:p>
            <w:pPr>
              <w:jc w:val="center"/>
              <w:rPr>
                <w:rFonts w:hint="eastAsia" w:ascii="方正仿宋_GBK" w:hAnsi="宋体" w:eastAsia="方正仿宋_GBK"/>
                <w:sz w:val="24"/>
                <w:szCs w:val="28"/>
              </w:rPr>
            </w:pPr>
          </w:p>
        </w:tc>
        <w:tc>
          <w:tcPr>
            <w:tcW w:w="1250" w:type="dxa"/>
            <w:vAlign w:val="center"/>
          </w:tcPr>
          <w:p>
            <w:pPr>
              <w:jc w:val="center"/>
              <w:rPr>
                <w:rFonts w:hint="eastAsia" w:ascii="方正仿宋_GBK" w:hAnsi="宋体" w:eastAsia="方正仿宋_GBK"/>
                <w:sz w:val="24"/>
                <w:szCs w:val="28"/>
              </w:rPr>
            </w:pPr>
          </w:p>
        </w:tc>
        <w:tc>
          <w:tcPr>
            <w:tcW w:w="867" w:type="dxa"/>
            <w:vAlign w:val="center"/>
          </w:tcPr>
          <w:p>
            <w:pPr>
              <w:jc w:val="center"/>
              <w:rPr>
                <w:rFonts w:hint="eastAsia" w:ascii="方正仿宋_GBK" w:hAnsi="宋体" w:eastAsia="方正仿宋_GBK"/>
                <w:sz w:val="24"/>
                <w:szCs w:val="28"/>
              </w:rPr>
            </w:pPr>
          </w:p>
        </w:tc>
        <w:tc>
          <w:tcPr>
            <w:tcW w:w="1186" w:type="dxa"/>
            <w:vAlign w:val="center"/>
          </w:tcPr>
          <w:p>
            <w:pPr>
              <w:jc w:val="center"/>
              <w:rPr>
                <w:rFonts w:hint="eastAsia" w:ascii="方正仿宋_GBK" w:hAnsi="宋体" w:eastAsia="方正仿宋_GBK"/>
                <w:sz w:val="24"/>
                <w:szCs w:val="28"/>
              </w:rPr>
            </w:pPr>
          </w:p>
        </w:tc>
        <w:tc>
          <w:tcPr>
            <w:tcW w:w="1233" w:type="dxa"/>
            <w:vAlign w:val="center"/>
          </w:tcPr>
          <w:p>
            <w:pPr>
              <w:jc w:val="center"/>
              <w:rPr>
                <w:rFonts w:hint="eastAsia" w:ascii="方正仿宋_GBK" w:hAnsi="宋体" w:eastAsia="方正仿宋_GBK"/>
                <w:sz w:val="24"/>
                <w:szCs w:val="28"/>
              </w:rPr>
            </w:pPr>
          </w:p>
        </w:tc>
      </w:tr>
    </w:tbl>
    <w:p>
      <w:pPr>
        <w:snapToGrid w:val="0"/>
        <w:spacing w:line="500" w:lineRule="exact"/>
        <w:rPr>
          <w:rFonts w:hint="eastAsia" w:ascii="方正仿宋_GBK" w:hAnsi="宋体" w:eastAsia="方正仿宋_GBK"/>
          <w:sz w:val="24"/>
          <w:szCs w:val="28"/>
        </w:rPr>
      </w:pP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48" w:name="OLE_LINK1"/>
      <w:bookmarkStart w:id="49" w:name="OLE_LINK2"/>
      <w:r>
        <w:rPr>
          <w:rFonts w:hint="eastAsia" w:ascii="方正仿宋_GBK" w:hAnsi="宋体" w:eastAsia="方正仿宋_GBK"/>
          <w:sz w:val="24"/>
          <w:szCs w:val="28"/>
        </w:rPr>
        <w:t>。</w:t>
      </w:r>
      <w:bookmarkEnd w:id="48"/>
      <w:bookmarkEnd w:id="49"/>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hint="eastAsia"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50" w:name="_Toc313888361"/>
      <w:bookmarkStart w:id="51" w:name="_Toc106034660"/>
      <w:bookmarkStart w:id="52" w:name="_Toc22655"/>
      <w:bookmarkStart w:id="53" w:name="_Toc14073"/>
      <w:bookmarkStart w:id="54" w:name="_Toc313008357"/>
      <w:bookmarkStart w:id="55" w:name="_Toc65660380"/>
      <w:bookmarkStart w:id="56" w:name="_Toc342913420"/>
      <w:r>
        <w:rPr>
          <w:rFonts w:hint="eastAsia" w:ascii="方正仿宋_GBK" w:hAnsi="宋体" w:eastAsia="方正仿宋_GBK"/>
          <w:sz w:val="24"/>
        </w:rPr>
        <w:t>二、技术（质量）部分</w:t>
      </w:r>
      <w:bookmarkEnd w:id="50"/>
      <w:bookmarkEnd w:id="51"/>
      <w:bookmarkEnd w:id="52"/>
      <w:bookmarkEnd w:id="53"/>
      <w:bookmarkEnd w:id="54"/>
      <w:bookmarkEnd w:id="55"/>
      <w:bookmarkEnd w:id="56"/>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2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hint="eastAsia"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宋体" w:eastAsia="方正仿宋_GBK"/>
                <w:sz w:val="21"/>
                <w:szCs w:val="21"/>
              </w:rPr>
            </w:pPr>
          </w:p>
        </w:tc>
        <w:tc>
          <w:tcPr>
            <w:tcW w:w="2844" w:type="dxa"/>
            <w:vAlign w:val="center"/>
          </w:tcPr>
          <w:p>
            <w:pPr>
              <w:tabs>
                <w:tab w:val="left" w:pos="6300"/>
              </w:tabs>
              <w:snapToGrid w:val="0"/>
              <w:jc w:val="center"/>
              <w:outlineLvl w:val="0"/>
              <w:rPr>
                <w:rFonts w:hint="eastAsia" w:ascii="方正仿宋_GBK" w:hAnsi="宋体" w:eastAsia="方正仿宋_GBK"/>
                <w:sz w:val="21"/>
                <w:szCs w:val="21"/>
              </w:rPr>
            </w:pPr>
          </w:p>
        </w:tc>
        <w:tc>
          <w:tcPr>
            <w:tcW w:w="2952" w:type="dxa"/>
            <w:vAlign w:val="center"/>
          </w:tcPr>
          <w:p>
            <w:pPr>
              <w:tabs>
                <w:tab w:val="left" w:pos="6300"/>
              </w:tabs>
              <w:snapToGrid w:val="0"/>
              <w:jc w:val="center"/>
              <w:outlineLvl w:val="0"/>
              <w:rPr>
                <w:rFonts w:hint="eastAsia" w:ascii="方正仿宋_GBK" w:hAnsi="宋体" w:eastAsia="方正仿宋_GBK"/>
                <w:sz w:val="21"/>
                <w:szCs w:val="21"/>
              </w:rPr>
            </w:pPr>
          </w:p>
        </w:tc>
        <w:tc>
          <w:tcPr>
            <w:tcW w:w="2212" w:type="dxa"/>
            <w:vAlign w:val="center"/>
          </w:tcPr>
          <w:p>
            <w:pPr>
              <w:tabs>
                <w:tab w:val="left" w:pos="6300"/>
              </w:tabs>
              <w:snapToGrid w:val="0"/>
              <w:jc w:val="center"/>
              <w:outlineLvl w:val="0"/>
              <w:rPr>
                <w:rFonts w:hint="eastAsia" w:ascii="方正仿宋_GBK" w:hAnsi="宋体" w:eastAsia="方正仿宋_GBK"/>
                <w:sz w:val="21"/>
                <w:szCs w:val="21"/>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hint="eastAsia"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四、技术要求”</w:t>
      </w:r>
      <w:r>
        <w:rPr>
          <w:rFonts w:hint="eastAsia" w:ascii="方正仿宋_GBK" w:hAnsi="仿宋" w:eastAsia="方正仿宋_GBK"/>
          <w:sz w:val="24"/>
          <w:szCs w:val="24"/>
        </w:rPr>
        <w:t>中所列条款进行比较和响应；</w:t>
      </w:r>
    </w:p>
    <w:p>
      <w:pPr>
        <w:tabs>
          <w:tab w:val="left" w:pos="6300"/>
        </w:tabs>
        <w:snapToGrid w:val="0"/>
        <w:spacing w:line="500" w:lineRule="exact"/>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p>
    <w:p>
      <w:pPr>
        <w:tabs>
          <w:tab w:val="left" w:pos="6300"/>
        </w:tabs>
        <w:snapToGrid w:val="0"/>
        <w:spacing w:line="500" w:lineRule="exact"/>
        <w:ind w:firstLine="480" w:firstLineChars="200"/>
        <w:rPr>
          <w:rFonts w:hint="eastAsia" w:ascii="方正仿宋_GBK" w:hAnsi="宋体" w:eastAsia="方正仿宋_GBK"/>
          <w:sz w:val="24"/>
        </w:rPr>
      </w:pP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640" w:firstLineChars="200"/>
        <w:rPr>
          <w:rFonts w:hint="eastAsia" w:ascii="方正仿宋_GBK" w:hAnsi="宋体" w:eastAsia="方正仿宋_GBK"/>
          <w:sz w:val="24"/>
        </w:rPr>
      </w:pPr>
      <w:r>
        <w:rPr>
          <w:rFonts w:ascii="方正仿宋_GBK" w:eastAsia="方正仿宋_GBK"/>
          <w:b w:val="0"/>
        </w:rPr>
        <w:br w:type="page"/>
      </w:r>
      <w:bookmarkStart w:id="57" w:name="_Toc106034661"/>
      <w:bookmarkStart w:id="58" w:name="_Toc65660381"/>
      <w:bookmarkStart w:id="59" w:name="_Toc32158"/>
      <w:bookmarkStart w:id="60" w:name="_Toc32339"/>
      <w:bookmarkStart w:id="61" w:name="_Toc313008358"/>
      <w:bookmarkStart w:id="62" w:name="_Toc313888362"/>
      <w:bookmarkStart w:id="63" w:name="_Toc342913421"/>
      <w:r>
        <w:rPr>
          <w:rFonts w:hint="eastAsia" w:ascii="方正仿宋_GBK" w:hAnsi="宋体" w:eastAsia="方正仿宋_GBK"/>
          <w:sz w:val="24"/>
        </w:rPr>
        <w:t>三、</w:t>
      </w:r>
      <w:r>
        <w:rPr>
          <w:rFonts w:hint="eastAsia" w:ascii="方正仿宋_GBK" w:hAnsi="宋体" w:eastAsia="方正仿宋_GBK"/>
          <w:sz w:val="24"/>
          <w:lang w:val="en-US" w:eastAsia="zh-CN"/>
        </w:rPr>
        <w:t>商务（服务）</w:t>
      </w:r>
      <w:r>
        <w:rPr>
          <w:rFonts w:hint="eastAsia" w:ascii="方正仿宋_GBK" w:hAnsi="宋体" w:eastAsia="方正仿宋_GBK"/>
          <w:sz w:val="24"/>
        </w:rPr>
        <w:t>部分</w:t>
      </w:r>
      <w:bookmarkEnd w:id="57"/>
      <w:bookmarkEnd w:id="58"/>
      <w:bookmarkEnd w:id="59"/>
      <w:bookmarkEnd w:id="60"/>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商务（服务）</w:t>
      </w:r>
      <w:r>
        <w:rPr>
          <w:rFonts w:hint="eastAsia" w:ascii="方正仿宋_GBK" w:hAnsi="宋体" w:eastAsia="方正仿宋_GBK"/>
          <w:sz w:val="24"/>
          <w:szCs w:val="24"/>
        </w:rPr>
        <w:t>响应偏离表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谈判项目名称：</w:t>
      </w:r>
    </w:p>
    <w:tbl>
      <w:tblPr>
        <w:tblStyle w:val="13"/>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采购需求</w:t>
            </w:r>
          </w:p>
        </w:tc>
        <w:tc>
          <w:tcPr>
            <w:tcW w:w="2438"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hint="eastAsia"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outlineLvl w:val="0"/>
              <w:rPr>
                <w:rFonts w:hint="eastAsia"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宋体" w:eastAsia="方正仿宋_GBK"/>
                <w:sz w:val="21"/>
                <w:szCs w:val="24"/>
              </w:rPr>
            </w:pPr>
          </w:p>
        </w:tc>
        <w:tc>
          <w:tcPr>
            <w:tcW w:w="3184" w:type="dxa"/>
            <w:vAlign w:val="center"/>
          </w:tcPr>
          <w:p>
            <w:pPr>
              <w:tabs>
                <w:tab w:val="left" w:pos="6300"/>
              </w:tabs>
              <w:snapToGrid w:val="0"/>
              <w:jc w:val="center"/>
              <w:outlineLvl w:val="0"/>
              <w:rPr>
                <w:rFonts w:hint="eastAsia" w:ascii="方正仿宋_GBK" w:hAnsi="宋体" w:eastAsia="方正仿宋_GBK"/>
                <w:sz w:val="21"/>
                <w:szCs w:val="24"/>
              </w:rPr>
            </w:pPr>
          </w:p>
        </w:tc>
        <w:tc>
          <w:tcPr>
            <w:tcW w:w="2438" w:type="dxa"/>
            <w:vAlign w:val="center"/>
          </w:tcPr>
          <w:p>
            <w:pPr>
              <w:tabs>
                <w:tab w:val="left" w:pos="6300"/>
              </w:tabs>
              <w:snapToGrid w:val="0"/>
              <w:jc w:val="center"/>
              <w:outlineLvl w:val="0"/>
              <w:rPr>
                <w:rFonts w:hint="eastAsia" w:ascii="方正仿宋_GBK" w:hAnsi="宋体" w:eastAsia="方正仿宋_GBK"/>
                <w:sz w:val="21"/>
                <w:szCs w:val="24"/>
              </w:rPr>
            </w:pPr>
          </w:p>
        </w:tc>
        <w:tc>
          <w:tcPr>
            <w:tcW w:w="2359" w:type="dxa"/>
            <w:vAlign w:val="center"/>
          </w:tcPr>
          <w:p>
            <w:pPr>
              <w:tabs>
                <w:tab w:val="left" w:pos="6300"/>
              </w:tabs>
              <w:snapToGrid w:val="0"/>
              <w:jc w:val="center"/>
              <w:outlineLvl w:val="0"/>
              <w:rPr>
                <w:rFonts w:hint="eastAsia" w:ascii="方正仿宋_GBK" w:hAnsi="宋体" w:eastAsia="方正仿宋_GBK"/>
                <w:sz w:val="21"/>
                <w:szCs w:val="24"/>
              </w:rPr>
            </w:pPr>
          </w:p>
        </w:tc>
      </w:tr>
    </w:tbl>
    <w:p>
      <w:pPr>
        <w:spacing w:line="500" w:lineRule="exact"/>
        <w:ind w:firstLine="600" w:firstLineChars="250"/>
        <w:rPr>
          <w:rFonts w:hint="eastAsia"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hint="eastAsia"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hint="eastAsia" w:ascii="方正仿宋_GBK" w:hAnsi="宋体" w:eastAsia="方正仿宋_GBK"/>
          <w:sz w:val="24"/>
        </w:rPr>
      </w:pP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w:t>
      </w:r>
      <w:r>
        <w:rPr>
          <w:rFonts w:hint="eastAsia" w:ascii="方正仿宋_GBK" w:hAnsi="仿宋" w:eastAsia="方正仿宋_GBK"/>
          <w:sz w:val="24"/>
          <w:szCs w:val="24"/>
          <w:lang w:eastAsia="zh-CN"/>
        </w:rPr>
        <w:t>“</w:t>
      </w:r>
      <w:r>
        <w:rPr>
          <w:rFonts w:hint="eastAsia" w:ascii="方正仿宋_GBK" w:hAnsi="仿宋" w:eastAsia="方正仿宋_GBK"/>
          <w:sz w:val="24"/>
          <w:szCs w:val="24"/>
          <w:lang w:val="en-US" w:eastAsia="zh-CN"/>
        </w:rPr>
        <w:t>五、商务要求”</w:t>
      </w:r>
      <w:r>
        <w:rPr>
          <w:rFonts w:hint="eastAsia" w:ascii="方正仿宋_GBK" w:hAnsi="仿宋" w:eastAsia="方正仿宋_GBK"/>
          <w:sz w:val="24"/>
          <w:szCs w:val="24"/>
        </w:rPr>
        <w:t>中所列条款进行比较和响应；</w:t>
      </w:r>
    </w:p>
    <w:p>
      <w:pPr>
        <w:tabs>
          <w:tab w:val="left" w:pos="6300"/>
        </w:tabs>
        <w:snapToGrid w:val="0"/>
        <w:spacing w:line="480" w:lineRule="exact"/>
        <w:ind w:firstLine="480" w:firstLineChars="200"/>
        <w:rPr>
          <w:rFonts w:hint="eastAsia" w:ascii="方正仿宋_GBK" w:hAnsi="宋体" w:eastAsia="方正仿宋_GBK"/>
          <w:sz w:val="24"/>
        </w:rPr>
      </w:pPr>
      <w:r>
        <w:rPr>
          <w:rFonts w:hint="eastAsia" w:ascii="方正仿宋_GBK" w:hAnsi="方正仿宋_GBK" w:eastAsia="方正仿宋_GBK" w:cs="方正仿宋_GBK"/>
          <w:sz w:val="24"/>
          <w:szCs w:val="24"/>
        </w:rPr>
        <w:t>2.该表必须按照</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文件要求逐条如实填写，根据</w:t>
      </w:r>
      <w:r>
        <w:rPr>
          <w:rFonts w:hint="eastAsia" w:ascii="方正仿宋_GBK" w:hAnsi="方正仿宋_GBK" w:eastAsia="方正仿宋_GBK" w:cs="方正仿宋_GBK"/>
          <w:sz w:val="24"/>
          <w:szCs w:val="24"/>
          <w:lang w:val="en-US" w:eastAsia="zh-CN"/>
        </w:rPr>
        <w:t>项目实际</w:t>
      </w:r>
      <w:r>
        <w:rPr>
          <w:rFonts w:hint="eastAsia" w:ascii="方正仿宋_GBK" w:hAnsi="方正仿宋_GBK" w:eastAsia="方正仿宋_GBK" w:cs="方正仿宋_GBK"/>
          <w:sz w:val="24"/>
          <w:szCs w:val="24"/>
        </w:rPr>
        <w:t>情况在“差异说明”项填写正偏离或负偏离及原因，完全符合的填写“无差异”，</w:t>
      </w:r>
      <w:r>
        <w:rPr>
          <w:rFonts w:hint="eastAsia" w:ascii="方正仿宋_GBK" w:hAnsi="宋体" w:eastAsia="方正仿宋_GBK"/>
          <w:sz w:val="24"/>
        </w:rPr>
        <w:t>如供应商未应答或只注明“符合”、“满足”等类似</w:t>
      </w:r>
      <w:r>
        <w:rPr>
          <w:rFonts w:hint="eastAsia" w:ascii="方正仿宋_GBK" w:hAnsi="仿宋" w:eastAsia="方正仿宋_GBK"/>
          <w:sz w:val="24"/>
          <w:szCs w:val="24"/>
        </w:rPr>
        <w:t>无具体数值或内容的表述，视为不满足对应条款；</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lang w:val="en-US" w:eastAsia="zh-CN"/>
        </w:rPr>
        <w:t>3</w:t>
      </w:r>
      <w:r>
        <w:rPr>
          <w:rFonts w:hint="eastAsia" w:ascii="方正仿宋_GBK" w:hAnsi="宋体" w:eastAsia="方正仿宋_GBK"/>
          <w:sz w:val="24"/>
        </w:rPr>
        <w:t>.本表可扩展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hint="eastAsia" w:ascii="方正仿宋_GBK" w:hAnsi="宋体" w:eastAsia="方正仿宋_GBK"/>
          <w:sz w:val="24"/>
          <w:szCs w:val="24"/>
        </w:rPr>
      </w:pPr>
      <w:r>
        <w:rPr>
          <w:rFonts w:hint="eastAsia" w:ascii="方正仿宋_GBK" w:hAnsi="宋体" w:eastAsia="方正仿宋_GBK"/>
          <w:color w:val="auto"/>
          <w:sz w:val="24"/>
          <w:szCs w:val="24"/>
          <w:lang w:val="en-US" w:eastAsia="zh-CN"/>
        </w:rPr>
        <w:t>（二）产品售后服务承诺函（提供承诺函复印件）</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自附</w:t>
      </w:r>
      <w:r>
        <w:rPr>
          <w:rFonts w:hint="eastAsia" w:ascii="方正仿宋_GBK" w:hAnsi="宋体" w:eastAsia="方正仿宋_GBK"/>
          <w:color w:val="auto"/>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）其它优惠服务承诺（格式自定）</w:t>
      </w:r>
    </w:p>
    <w:p>
      <w:pPr>
        <w:tabs>
          <w:tab w:val="left" w:pos="6300"/>
        </w:tabs>
        <w:snapToGrid w:val="0"/>
        <w:spacing w:line="480" w:lineRule="exact"/>
        <w:ind w:firstLine="480" w:firstLineChars="200"/>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64" w:name="_Toc106034662"/>
      <w:bookmarkStart w:id="65" w:name="_Toc65660382"/>
      <w:bookmarkStart w:id="66" w:name="_Toc2082"/>
      <w:bookmarkStart w:id="67" w:name="_Toc20162"/>
      <w:r>
        <w:rPr>
          <w:rFonts w:hint="eastAsia" w:ascii="方正仿宋_GBK" w:hAnsi="宋体" w:eastAsia="方正仿宋_GBK"/>
          <w:sz w:val="24"/>
        </w:rPr>
        <w:t>四、</w:t>
      </w:r>
      <w:bookmarkEnd w:id="61"/>
      <w:bookmarkEnd w:id="62"/>
      <w:bookmarkEnd w:id="63"/>
      <w:r>
        <w:rPr>
          <w:rFonts w:hint="eastAsia" w:ascii="方正仿宋_GBK" w:hAnsi="宋体" w:eastAsia="方正仿宋_GBK"/>
          <w:sz w:val="24"/>
        </w:rPr>
        <w:t>资格条件及其他</w:t>
      </w:r>
      <w:bookmarkEnd w:id="64"/>
      <w:bookmarkEnd w:id="65"/>
      <w:bookmarkEnd w:id="66"/>
      <w:bookmarkEnd w:id="67"/>
      <w:bookmarkStart w:id="68" w:name="_Toc313008359"/>
      <w:bookmarkStart w:id="69" w:name="_Toc313888363"/>
      <w:bookmarkStart w:id="70" w:name="_Toc342913422"/>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谈判项目名称：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8"/>
        </w:rPr>
        <w:t>谈判项目名称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hint="eastAsia" w:ascii="方正仿宋_GBK" w:hAnsi="宋体" w:eastAsia="方正仿宋_GBK"/>
          <w:sz w:val="24"/>
          <w:szCs w:val="28"/>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tabs>
          <w:tab w:val="left" w:pos="6300"/>
        </w:tabs>
        <w:snapToGrid w:val="0"/>
        <w:spacing w:line="500" w:lineRule="exact"/>
        <w:ind w:right="480" w:firstLine="570"/>
        <w:jc w:val="left"/>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tabs>
          <w:tab w:val="left" w:pos="6300"/>
        </w:tabs>
        <w:snapToGrid w:val="0"/>
        <w:spacing w:line="500" w:lineRule="exact"/>
        <w:ind w:right="480" w:firstLine="570"/>
        <w:jc w:val="left"/>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default" w:ascii="方正仿宋_GBK" w:hAnsi="仿宋" w:eastAsia="方正仿宋_GBK"/>
          <w:sz w:val="24"/>
          <w:u w:val="none"/>
          <w:lang w:val="en-US" w:eastAsia="zh-CN"/>
        </w:rPr>
      </w:pP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jc w:val="right"/>
        <w:rPr>
          <w:rFonts w:hint="eastAsia"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6720" w:firstLineChars="2800"/>
        <w:jc w:val="left"/>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5"/>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（提供授权书复印件）（如有）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5"/>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71" w:name="_Toc106034663"/>
      <w:bookmarkStart w:id="72" w:name="_Toc2080"/>
      <w:bookmarkStart w:id="73" w:name="_Toc17010"/>
      <w:bookmarkStart w:id="74" w:name="_Toc65660383"/>
      <w:r>
        <w:rPr>
          <w:rFonts w:hint="eastAsia" w:ascii="方正仿宋_GBK" w:hAnsi="宋体" w:eastAsia="方正仿宋_GBK"/>
          <w:sz w:val="24"/>
        </w:rPr>
        <w:t>五、</w:t>
      </w:r>
      <w:bookmarkEnd w:id="68"/>
      <w:bookmarkEnd w:id="69"/>
      <w:bookmarkEnd w:id="70"/>
      <w:r>
        <w:rPr>
          <w:rFonts w:hint="eastAsia" w:ascii="方正仿宋_GBK" w:hAnsi="宋体" w:eastAsia="方正仿宋_GBK"/>
          <w:sz w:val="24"/>
        </w:rPr>
        <w:t>其他资料</w:t>
      </w:r>
      <w:bookmarkEnd w:id="71"/>
      <w:bookmarkEnd w:id="72"/>
      <w:bookmarkEnd w:id="73"/>
      <w:bookmarkEnd w:id="74"/>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widowControl/>
        <w:spacing w:line="400" w:lineRule="exact"/>
        <w:ind w:left="6224" w:leftChars="2964" w:firstLine="480" w:firstLineChars="200"/>
        <w:jc w:val="left"/>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widowControl/>
        <w:spacing w:line="400" w:lineRule="exact"/>
        <w:ind w:firstLine="6480" w:firstLineChars="2700"/>
        <w:jc w:val="left"/>
        <w:rPr>
          <w:rFonts w:hint="eastAsia" w:ascii="方正仿宋_GBK" w:hAnsi="宋体" w:eastAsia="方正仿宋_GBK"/>
          <w:sz w:val="24"/>
          <w:szCs w:val="24"/>
        </w:rPr>
      </w:pPr>
      <w:r>
        <w:rPr>
          <w:rFonts w:hint="eastAsia" w:ascii="方正仿宋_GBK" w:hAnsi="仿宋" w:eastAsia="方正仿宋_GBK"/>
          <w:sz w:val="24"/>
        </w:rPr>
        <w:t>年   月   日</w:t>
      </w:r>
    </w:p>
    <w:p>
      <w:pPr>
        <w:pStyle w:val="6"/>
        <w:rPr>
          <w:rFonts w:hint="eastAsia" w:ascii="方正仿宋_GBK" w:hAnsi="方正仿宋_GBK" w:eastAsia="方正仿宋_GBK" w:cs="方正仿宋_GBK"/>
          <w:sz w:val="24"/>
          <w:szCs w:val="32"/>
        </w:rPr>
      </w:pPr>
    </w:p>
    <w:p>
      <w:pPr>
        <w:widowControl/>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lang w:val="en-US" w:eastAsia="zh-CN"/>
        </w:rPr>
        <w:br w:type="page"/>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jc w:val="both"/>
        <w:textAlignment w:val="auto"/>
        <w:outlineLvl w:val="9"/>
        <w:rPr>
          <w:rFonts w:hint="eastAsia" w:ascii="方正仿宋_GBK" w:hAnsi="宋体" w:eastAsia="方正仿宋_GBK"/>
          <w:sz w:val="24"/>
          <w:szCs w:val="24"/>
          <w:lang w:val="en-US" w:eastAsia="zh-CN"/>
        </w:rPr>
      </w:pPr>
    </w:p>
    <w:p>
      <w:pPr>
        <w:rPr>
          <w:rFonts w:hint="eastAsia" w:ascii="方正仿宋_GBK" w:hAnsi="宋体" w:eastAsia="方正仿宋_GBK"/>
          <w:sz w:val="24"/>
          <w:szCs w:val="24"/>
          <w:lang w:val="en-US" w:eastAsia="zh-CN"/>
        </w:rPr>
      </w:pPr>
    </w:p>
    <w:p>
      <w:pPr>
        <w:pStyle w:val="11"/>
        <w:rPr>
          <w:rFonts w:hint="eastAsia" w:ascii="方正仿宋_GBK" w:hAnsi="宋体" w:eastAsia="方正仿宋_GBK"/>
          <w:sz w:val="24"/>
          <w:szCs w:val="24"/>
          <w:lang w:val="en-US" w:eastAsia="zh-CN"/>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embedRegular r:id="rId1" w:fontKey="{3FE45DE8-9F4F-4C51-A5C7-D6FA4F8E86F2}"/>
  </w:font>
  <w:font w:name="方正仿宋_GBK">
    <w:panose1 w:val="03000509000000000000"/>
    <w:charset w:val="86"/>
    <w:family w:val="auto"/>
    <w:pitch w:val="default"/>
    <w:sig w:usb0="00000001" w:usb1="080E0000" w:usb2="00000000" w:usb3="00000000" w:csb0="00040000" w:csb1="00000000"/>
    <w:embedRegular r:id="rId2" w:fontKey="{C5E34AB3-6489-463E-906E-47AE4C5FEA57}"/>
  </w:font>
  <w:font w:name="仿宋">
    <w:panose1 w:val="02010609060101010101"/>
    <w:charset w:val="86"/>
    <w:family w:val="modern"/>
    <w:pitch w:val="default"/>
    <w:sig w:usb0="800002BF" w:usb1="38CF7CFA" w:usb2="00000016" w:usb3="00000000" w:csb0="00040001" w:csb1="00000000"/>
    <w:embedRegular r:id="rId3" w:fontKey="{845E44F3-E6F0-4C1D-B7AB-6F2964291686}"/>
  </w:font>
  <w:font w:name="仿宋_GB2312">
    <w:altName w:val="仿宋"/>
    <w:panose1 w:val="00000000000000000000"/>
    <w:charset w:val="86"/>
    <w:family w:val="modern"/>
    <w:pitch w:val="default"/>
    <w:sig w:usb0="00000000" w:usb1="00000000" w:usb2="00000010" w:usb3="00000000" w:csb0="00040000" w:csb1="00000000"/>
    <w:embedRegular r:id="rId4" w:fontKey="{7B7ECEEF-B88B-4D3B-AE1E-F0C3B48FAF44}"/>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黑体_GBK">
    <w:altName w:val="微软雅黑"/>
    <w:panose1 w:val="03000509000000000000"/>
    <w:charset w:val="86"/>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文鼎粗黑">
    <w:altName w:val="黑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0000000000000000000"/>
    <w:charset w:val="00"/>
    <w:family w:val="roman"/>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0D454D"/>
    <w:multiLevelType w:val="singleLevel"/>
    <w:tmpl w:val="C40D454D"/>
    <w:lvl w:ilvl="0" w:tentative="0">
      <w:start w:val="5"/>
      <w:numFmt w:val="chineseCounting"/>
      <w:suff w:val="nothing"/>
      <w:lvlText w:val="（%1）"/>
      <w:lvlJc w:val="left"/>
      <w:rPr>
        <w:rFonts w:hint="eastAsia"/>
      </w:rPr>
    </w:lvl>
  </w:abstractNum>
  <w:abstractNum w:abstractNumId="1">
    <w:nsid w:val="FFAE28EE"/>
    <w:multiLevelType w:val="singleLevel"/>
    <w:tmpl w:val="FFAE28EE"/>
    <w:lvl w:ilvl="0" w:tentative="0">
      <w:start w:val="2"/>
      <w:numFmt w:val="decimal"/>
      <w:lvlText w:val="%1."/>
      <w:lvlJc w:val="left"/>
      <w:pPr>
        <w:tabs>
          <w:tab w:val="left" w:pos="312"/>
        </w:tabs>
      </w:p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abstractNum w:abstractNumId="3">
    <w:nsid w:val="3FA069D0"/>
    <w:multiLevelType w:val="singleLevel"/>
    <w:tmpl w:val="3FA069D0"/>
    <w:lvl w:ilvl="0" w:tentative="0">
      <w:start w:val="3"/>
      <w:numFmt w:val="chineseCounting"/>
      <w:suff w:val="nothing"/>
      <w:lvlText w:val="（%1）"/>
      <w:lvlJc w:val="left"/>
      <w:rPr>
        <w:rFonts w:hint="eastAsia"/>
      </w:rPr>
    </w:lvl>
  </w:abstractNum>
  <w:abstractNum w:abstractNumId="4">
    <w:nsid w:val="72FE8E30"/>
    <w:multiLevelType w:val="singleLevel"/>
    <w:tmpl w:val="72FE8E30"/>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15021"/>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87F74"/>
    <w:rsid w:val="00AB5BCC"/>
    <w:rsid w:val="00AC70D0"/>
    <w:rsid w:val="00AF0BF2"/>
    <w:rsid w:val="00AF286D"/>
    <w:rsid w:val="00B13C27"/>
    <w:rsid w:val="00B80FC0"/>
    <w:rsid w:val="00BB670E"/>
    <w:rsid w:val="00C34CDB"/>
    <w:rsid w:val="00CA2A10"/>
    <w:rsid w:val="00CA39F9"/>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91F4C"/>
    <w:rsid w:val="01BD0AF0"/>
    <w:rsid w:val="01CA216C"/>
    <w:rsid w:val="01F77149"/>
    <w:rsid w:val="02615062"/>
    <w:rsid w:val="02BB660D"/>
    <w:rsid w:val="040556DD"/>
    <w:rsid w:val="05084823"/>
    <w:rsid w:val="052027CE"/>
    <w:rsid w:val="052B0814"/>
    <w:rsid w:val="0553737F"/>
    <w:rsid w:val="055E66C3"/>
    <w:rsid w:val="0572737F"/>
    <w:rsid w:val="05E57DDF"/>
    <w:rsid w:val="0644429B"/>
    <w:rsid w:val="08041D76"/>
    <w:rsid w:val="09655DC8"/>
    <w:rsid w:val="098B64A1"/>
    <w:rsid w:val="09B2776D"/>
    <w:rsid w:val="09F14739"/>
    <w:rsid w:val="0A8C3C5A"/>
    <w:rsid w:val="0B145FD1"/>
    <w:rsid w:val="0B4E3BB1"/>
    <w:rsid w:val="0B805F69"/>
    <w:rsid w:val="0B834821"/>
    <w:rsid w:val="0BAE21B6"/>
    <w:rsid w:val="0BBA0B5B"/>
    <w:rsid w:val="0BF70001"/>
    <w:rsid w:val="0D5E7858"/>
    <w:rsid w:val="0DBD6915"/>
    <w:rsid w:val="0DE620DB"/>
    <w:rsid w:val="0E0E518E"/>
    <w:rsid w:val="0E653757"/>
    <w:rsid w:val="0ED07A7C"/>
    <w:rsid w:val="0EF324E5"/>
    <w:rsid w:val="0FC01DDD"/>
    <w:rsid w:val="0FC2411A"/>
    <w:rsid w:val="103C2486"/>
    <w:rsid w:val="1066305F"/>
    <w:rsid w:val="1092654A"/>
    <w:rsid w:val="10DC01C8"/>
    <w:rsid w:val="116503A8"/>
    <w:rsid w:val="11924EB2"/>
    <w:rsid w:val="125850E3"/>
    <w:rsid w:val="13370CE3"/>
    <w:rsid w:val="13394A5B"/>
    <w:rsid w:val="133F76F0"/>
    <w:rsid w:val="13497394"/>
    <w:rsid w:val="13704662"/>
    <w:rsid w:val="13814630"/>
    <w:rsid w:val="13DF3FC3"/>
    <w:rsid w:val="147C121E"/>
    <w:rsid w:val="14A409DB"/>
    <w:rsid w:val="15335936"/>
    <w:rsid w:val="15625621"/>
    <w:rsid w:val="15F441A8"/>
    <w:rsid w:val="16377978"/>
    <w:rsid w:val="16A60816"/>
    <w:rsid w:val="17F26FAE"/>
    <w:rsid w:val="184E55B3"/>
    <w:rsid w:val="18687FAE"/>
    <w:rsid w:val="187A7FF0"/>
    <w:rsid w:val="18886D36"/>
    <w:rsid w:val="18B43502"/>
    <w:rsid w:val="19DC7BC1"/>
    <w:rsid w:val="1AC856F5"/>
    <w:rsid w:val="1BD877D9"/>
    <w:rsid w:val="1BD94DAD"/>
    <w:rsid w:val="1D54216D"/>
    <w:rsid w:val="1E3356E8"/>
    <w:rsid w:val="1E3F6127"/>
    <w:rsid w:val="1E803E86"/>
    <w:rsid w:val="1EDB5833"/>
    <w:rsid w:val="1FD86743"/>
    <w:rsid w:val="201D7DBD"/>
    <w:rsid w:val="20636C63"/>
    <w:rsid w:val="21546A66"/>
    <w:rsid w:val="21693711"/>
    <w:rsid w:val="21C76FCD"/>
    <w:rsid w:val="21FD7BFC"/>
    <w:rsid w:val="226E4C36"/>
    <w:rsid w:val="22876A1A"/>
    <w:rsid w:val="24134AB9"/>
    <w:rsid w:val="2437495C"/>
    <w:rsid w:val="24857B00"/>
    <w:rsid w:val="24BC54EC"/>
    <w:rsid w:val="24E52C95"/>
    <w:rsid w:val="25F859A0"/>
    <w:rsid w:val="26030B51"/>
    <w:rsid w:val="260852E0"/>
    <w:rsid w:val="267B565F"/>
    <w:rsid w:val="26A459E8"/>
    <w:rsid w:val="270D1AB7"/>
    <w:rsid w:val="27201D62"/>
    <w:rsid w:val="273D0B66"/>
    <w:rsid w:val="27A6495D"/>
    <w:rsid w:val="29CE6BF9"/>
    <w:rsid w:val="2A680F3D"/>
    <w:rsid w:val="2AC57FFB"/>
    <w:rsid w:val="2AED7E1E"/>
    <w:rsid w:val="2B786D91"/>
    <w:rsid w:val="2BDC0C36"/>
    <w:rsid w:val="2C041E33"/>
    <w:rsid w:val="2C516D69"/>
    <w:rsid w:val="2D2B3E3E"/>
    <w:rsid w:val="2D426ED6"/>
    <w:rsid w:val="2D7524E6"/>
    <w:rsid w:val="2D7D5F35"/>
    <w:rsid w:val="2E02101A"/>
    <w:rsid w:val="2E8928E3"/>
    <w:rsid w:val="2ED55B28"/>
    <w:rsid w:val="2F5D0544"/>
    <w:rsid w:val="301A0151"/>
    <w:rsid w:val="3034062C"/>
    <w:rsid w:val="305C705B"/>
    <w:rsid w:val="306B49F6"/>
    <w:rsid w:val="30B8300C"/>
    <w:rsid w:val="30BD408D"/>
    <w:rsid w:val="31C72C2F"/>
    <w:rsid w:val="327114A6"/>
    <w:rsid w:val="32CC51D0"/>
    <w:rsid w:val="34DF325D"/>
    <w:rsid w:val="355A64D2"/>
    <w:rsid w:val="356E302D"/>
    <w:rsid w:val="35FA4AC4"/>
    <w:rsid w:val="360C12AD"/>
    <w:rsid w:val="36421CF5"/>
    <w:rsid w:val="36825B67"/>
    <w:rsid w:val="36954945"/>
    <w:rsid w:val="3753785A"/>
    <w:rsid w:val="37A147F9"/>
    <w:rsid w:val="37A14BDC"/>
    <w:rsid w:val="37A95DA4"/>
    <w:rsid w:val="38CA4224"/>
    <w:rsid w:val="39842583"/>
    <w:rsid w:val="3A07396B"/>
    <w:rsid w:val="3A255BB6"/>
    <w:rsid w:val="3A757783"/>
    <w:rsid w:val="3AB94550"/>
    <w:rsid w:val="3B607EC1"/>
    <w:rsid w:val="3B82689F"/>
    <w:rsid w:val="3BD83E51"/>
    <w:rsid w:val="3CA51C1E"/>
    <w:rsid w:val="3D0B21A9"/>
    <w:rsid w:val="3DD0408A"/>
    <w:rsid w:val="3E752DC9"/>
    <w:rsid w:val="3FC4359B"/>
    <w:rsid w:val="3FF83425"/>
    <w:rsid w:val="40203595"/>
    <w:rsid w:val="408B24EB"/>
    <w:rsid w:val="41546D80"/>
    <w:rsid w:val="415D3E87"/>
    <w:rsid w:val="41A53F56"/>
    <w:rsid w:val="41AD4E8E"/>
    <w:rsid w:val="42291FBB"/>
    <w:rsid w:val="42380450"/>
    <w:rsid w:val="428D0D7A"/>
    <w:rsid w:val="42D54C4D"/>
    <w:rsid w:val="42DE0FF8"/>
    <w:rsid w:val="443474E0"/>
    <w:rsid w:val="444C6312"/>
    <w:rsid w:val="445C6678"/>
    <w:rsid w:val="449F54C0"/>
    <w:rsid w:val="44A8542F"/>
    <w:rsid w:val="44B6565C"/>
    <w:rsid w:val="45810E43"/>
    <w:rsid w:val="466E3045"/>
    <w:rsid w:val="4684760A"/>
    <w:rsid w:val="46B207D1"/>
    <w:rsid w:val="46DC2BC3"/>
    <w:rsid w:val="472E3198"/>
    <w:rsid w:val="4760647F"/>
    <w:rsid w:val="47701925"/>
    <w:rsid w:val="4867383D"/>
    <w:rsid w:val="48CF1AED"/>
    <w:rsid w:val="49664A06"/>
    <w:rsid w:val="49B900C8"/>
    <w:rsid w:val="4AAF797E"/>
    <w:rsid w:val="4AD622C0"/>
    <w:rsid w:val="4B046ED0"/>
    <w:rsid w:val="4B2B6DA4"/>
    <w:rsid w:val="4B8E71EF"/>
    <w:rsid w:val="4B9D04D7"/>
    <w:rsid w:val="4BA43FBA"/>
    <w:rsid w:val="4BAF1783"/>
    <w:rsid w:val="4BB5608D"/>
    <w:rsid w:val="4C582C53"/>
    <w:rsid w:val="4CD82061"/>
    <w:rsid w:val="4D4001B9"/>
    <w:rsid w:val="4D433F84"/>
    <w:rsid w:val="4D50664E"/>
    <w:rsid w:val="4E290A02"/>
    <w:rsid w:val="4E7C3473"/>
    <w:rsid w:val="4E853A23"/>
    <w:rsid w:val="4F500606"/>
    <w:rsid w:val="4F785239"/>
    <w:rsid w:val="4FC23B75"/>
    <w:rsid w:val="4FD95020"/>
    <w:rsid w:val="5080765E"/>
    <w:rsid w:val="509D5C5F"/>
    <w:rsid w:val="50AA111F"/>
    <w:rsid w:val="50B22DDB"/>
    <w:rsid w:val="51E01C21"/>
    <w:rsid w:val="52F56DBE"/>
    <w:rsid w:val="5302488E"/>
    <w:rsid w:val="54774E08"/>
    <w:rsid w:val="54EC75A4"/>
    <w:rsid w:val="553D2826"/>
    <w:rsid w:val="55BD684B"/>
    <w:rsid w:val="561C13CB"/>
    <w:rsid w:val="56210721"/>
    <w:rsid w:val="56E919B9"/>
    <w:rsid w:val="578155EF"/>
    <w:rsid w:val="57CB0088"/>
    <w:rsid w:val="57FC74F5"/>
    <w:rsid w:val="596468E9"/>
    <w:rsid w:val="59745DBA"/>
    <w:rsid w:val="59ED6194"/>
    <w:rsid w:val="59F15ACE"/>
    <w:rsid w:val="5B395A82"/>
    <w:rsid w:val="5B7C4516"/>
    <w:rsid w:val="5B841BB9"/>
    <w:rsid w:val="5B9F4616"/>
    <w:rsid w:val="5BD668B8"/>
    <w:rsid w:val="5BDE39BF"/>
    <w:rsid w:val="5D0C36C3"/>
    <w:rsid w:val="5D24510E"/>
    <w:rsid w:val="5D3E1D04"/>
    <w:rsid w:val="5D9A2252"/>
    <w:rsid w:val="5DD35E0B"/>
    <w:rsid w:val="5E2E29DB"/>
    <w:rsid w:val="5E8545C5"/>
    <w:rsid w:val="5EC809F4"/>
    <w:rsid w:val="5ECC3FA2"/>
    <w:rsid w:val="5ED35331"/>
    <w:rsid w:val="5F1818BF"/>
    <w:rsid w:val="5F2B2A77"/>
    <w:rsid w:val="5F487ACD"/>
    <w:rsid w:val="5F6A3B63"/>
    <w:rsid w:val="603F4A02"/>
    <w:rsid w:val="604F4E8B"/>
    <w:rsid w:val="60EB4BB4"/>
    <w:rsid w:val="62AC472E"/>
    <w:rsid w:val="63C427FD"/>
    <w:rsid w:val="63E562C2"/>
    <w:rsid w:val="64434207"/>
    <w:rsid w:val="644A5BFB"/>
    <w:rsid w:val="649679DF"/>
    <w:rsid w:val="64C85426"/>
    <w:rsid w:val="64CF0321"/>
    <w:rsid w:val="65644F35"/>
    <w:rsid w:val="65876E75"/>
    <w:rsid w:val="669453A6"/>
    <w:rsid w:val="66D04197"/>
    <w:rsid w:val="672804FC"/>
    <w:rsid w:val="67991669"/>
    <w:rsid w:val="68246BFD"/>
    <w:rsid w:val="68A32B48"/>
    <w:rsid w:val="68EC4BC4"/>
    <w:rsid w:val="6A4D43B8"/>
    <w:rsid w:val="6A8D37D7"/>
    <w:rsid w:val="6BF55889"/>
    <w:rsid w:val="6C1406A2"/>
    <w:rsid w:val="6C1F3525"/>
    <w:rsid w:val="6C767210"/>
    <w:rsid w:val="6CA672D2"/>
    <w:rsid w:val="6D2B26D1"/>
    <w:rsid w:val="6DB63E53"/>
    <w:rsid w:val="6E1D2C52"/>
    <w:rsid w:val="6E82070E"/>
    <w:rsid w:val="6E902A69"/>
    <w:rsid w:val="6EFD7139"/>
    <w:rsid w:val="6F0B01CF"/>
    <w:rsid w:val="70787102"/>
    <w:rsid w:val="708B4D5C"/>
    <w:rsid w:val="723A6707"/>
    <w:rsid w:val="72442376"/>
    <w:rsid w:val="72BD3F91"/>
    <w:rsid w:val="72C377F4"/>
    <w:rsid w:val="73137F9A"/>
    <w:rsid w:val="73445ECA"/>
    <w:rsid w:val="73C51294"/>
    <w:rsid w:val="73EA2176"/>
    <w:rsid w:val="744D0FEF"/>
    <w:rsid w:val="759977E2"/>
    <w:rsid w:val="75BA7197"/>
    <w:rsid w:val="764861AD"/>
    <w:rsid w:val="770F5F97"/>
    <w:rsid w:val="779C184E"/>
    <w:rsid w:val="77E0259C"/>
    <w:rsid w:val="78280961"/>
    <w:rsid w:val="794F06AD"/>
    <w:rsid w:val="7A923E9A"/>
    <w:rsid w:val="7AA15452"/>
    <w:rsid w:val="7B5D7B47"/>
    <w:rsid w:val="7B8D1379"/>
    <w:rsid w:val="7BC260B9"/>
    <w:rsid w:val="7CA547CE"/>
    <w:rsid w:val="7CD95DB0"/>
    <w:rsid w:val="7DF64125"/>
    <w:rsid w:val="7F2C014E"/>
    <w:rsid w:val="7F686F78"/>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next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23</Pages>
  <Words>8594</Words>
  <Characters>8958</Characters>
  <Lines>12</Lines>
  <Paragraphs>3</Paragraphs>
  <ScaleCrop>false</ScaleCrop>
  <LinksUpToDate>false</LinksUpToDate>
  <CharactersWithSpaces>9972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2025-04-24T08:28:42Z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91AB4AF8FFE64E2F89CA67AD9D6BA0F0_13</vt:lpwstr>
  </property>
  <property fmtid="{D5CDD505-2E9C-101B-9397-08002B2CF9AE}" pid="4" name="KSOTemplateDocerSaveRecord">
    <vt:lpwstr>eyJoZGlkIjoiZmU5YWNjNDNmNDM0MmNmY2I1NWY2YjYxNGZmM2Y2MjAiLCJ1c2VySWQiOiIxNTE0MDc2NTc3In0=</vt:lpwstr>
  </property>
</Properties>
</file>