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疤痕修复材料常规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疤痕修复材料常规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76"/>
        <w:gridCol w:w="2214"/>
        <w:gridCol w:w="1671"/>
        <w:gridCol w:w="2505"/>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710"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医保分类代码</w:t>
            </w:r>
          </w:p>
        </w:tc>
        <w:tc>
          <w:tcPr>
            <w:tcW w:w="167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21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671"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05"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10"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170201</w:t>
            </w:r>
          </w:p>
        </w:tc>
        <w:tc>
          <w:tcPr>
            <w:tcW w:w="167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疤痕修复材料</w:t>
            </w:r>
          </w:p>
        </w:tc>
        <w:tc>
          <w:tcPr>
            <w:tcW w:w="2214"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用于辅助改善或预防皮肤疤痕</w:t>
            </w:r>
          </w:p>
        </w:tc>
        <w:tc>
          <w:tcPr>
            <w:tcW w:w="1671"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505" w:type="dxa"/>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2548773"/>
      <w:bookmarkStart w:id="9" w:name="_Toc1965"/>
      <w:bookmarkStart w:id="10" w:name="_Toc11412"/>
      <w:bookmarkStart w:id="11" w:name="_Toc26564"/>
      <w:bookmarkStart w:id="12" w:name="_Toc6178"/>
      <w:bookmarkStart w:id="13" w:name="_Toc3374"/>
      <w:bookmarkStart w:id="14" w:name="_Toc17509"/>
      <w:bookmarkStart w:id="15" w:name="_Toc3976"/>
      <w:bookmarkStart w:id="16" w:name="_Toc21930"/>
      <w:bookmarkStart w:id="17" w:name="_Toc9401"/>
    </w:p>
    <w:p w14:paraId="5BC1891D">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lang w:val="en-US" w:eastAsia="zh-CN"/>
        </w:rPr>
        <w:t>五、</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按时递交了响应文件；</w:t>
      </w:r>
      <w:bookmarkStart w:id="57" w:name="_GoBack"/>
      <w:bookmarkEnd w:id="57"/>
    </w:p>
    <w:p w14:paraId="46DA1AA3">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bookmarkStart w:id="18" w:name="_Toc8132"/>
      <w:bookmarkStart w:id="19" w:name="_Toc21862"/>
      <w:bookmarkStart w:id="20" w:name="_Toc31639"/>
      <w:bookmarkStart w:id="21" w:name="_Toc22978"/>
      <w:bookmarkStart w:id="22" w:name="_Toc517368027"/>
      <w:bookmarkStart w:id="23" w:name="_Toc13490"/>
      <w:bookmarkStart w:id="24" w:name="_Toc6933"/>
      <w:bookmarkStart w:id="25" w:name="_Toc31810"/>
      <w:bookmarkStart w:id="26" w:name="_Toc517367960"/>
      <w:bookmarkStart w:id="27" w:name="_Toc527828387"/>
      <w:r>
        <w:rPr>
          <w:rFonts w:hint="default" w:ascii="Times New Roman" w:hAnsi="Times New Roman" w:eastAsia="方正仿宋_GBK" w:cs="Times New Roman"/>
          <w:b/>
          <w:bCs/>
          <w:color w:val="000000"/>
          <w:sz w:val="24"/>
          <w:szCs w:val="24"/>
          <w:lang w:val="en-US" w:eastAsia="zh-CN"/>
        </w:rPr>
        <w:t>六</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s="Times New Roman"/>
          <w:color w:val="000000"/>
          <w:kern w:val="2"/>
          <w:sz w:val="24"/>
          <w:szCs w:val="24"/>
          <w:highlight w:val="none"/>
          <w:lang w:val="en-US" w:eastAsia="zh-CN" w:bidi="ar-SA"/>
        </w:rPr>
        <w:t>2.</w:t>
      </w: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E5580BF">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3E8D17E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10B163F1">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20DC2A5A">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341EF02C">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56F196D0">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611B45B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2.质疑答复时限</w:t>
      </w:r>
    </w:p>
    <w:p w14:paraId="732368E2">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1DC4975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3.投诉</w:t>
      </w:r>
    </w:p>
    <w:p w14:paraId="4B9A945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1495"/>
      <w:bookmarkStart w:id="30" w:name="_Toc517368028"/>
      <w:bookmarkStart w:id="31" w:name="_Toc15317"/>
      <w:bookmarkStart w:id="32" w:name="_Toc24167"/>
      <w:bookmarkStart w:id="33" w:name="_Toc24060"/>
      <w:bookmarkStart w:id="34" w:name="_Toc517367961"/>
      <w:bookmarkStart w:id="35" w:name="_Toc20734"/>
      <w:bookmarkStart w:id="36" w:name="_Toc527828388"/>
      <w:bookmarkStart w:id="37" w:name="_Toc2188"/>
      <w:r>
        <w:rPr>
          <w:rFonts w:hint="default"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default"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2"/>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65660381"/>
      <w:bookmarkStart w:id="40" w:name="_Toc106034661"/>
      <w:bookmarkStart w:id="41" w:name="_Toc32158"/>
      <w:bookmarkStart w:id="42" w:name="_Toc32339"/>
      <w:bookmarkStart w:id="43" w:name="_Toc342913421"/>
      <w:bookmarkStart w:id="44" w:name="_Toc313008358"/>
      <w:bookmarkStart w:id="45" w:name="_Toc313888362"/>
      <w:bookmarkStart w:id="46" w:name="_Toc65660382"/>
      <w:bookmarkStart w:id="47" w:name="_Toc2082"/>
      <w:bookmarkStart w:id="48" w:name="_Toc20162"/>
      <w:bookmarkStart w:id="49"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8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196"/>
        <w:gridCol w:w="2979"/>
        <w:gridCol w:w="2171"/>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39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196"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979"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171"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9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2196"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979"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171"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9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2196"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979"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171"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9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2196"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979"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171"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9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2196"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979"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171"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9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2196"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979"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171"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3903724C">
      <w:pPr>
        <w:tabs>
          <w:tab w:val="left" w:pos="6300"/>
        </w:tabs>
        <w:snapToGrid w:val="0"/>
        <w:spacing w:line="480" w:lineRule="exact"/>
        <w:ind w:firstLine="480" w:firstLineChars="200"/>
        <w:rPr>
          <w:rFonts w:hint="eastAsia" w:ascii="方正仿宋_GBK" w:hAnsi="宋体" w:eastAsia="方正仿宋_GBK"/>
          <w:sz w:val="24"/>
          <w:szCs w:val="24"/>
        </w:rPr>
      </w:pPr>
    </w:p>
    <w:p w14:paraId="2C0BF510">
      <w:pPr>
        <w:spacing w:line="400" w:lineRule="exact"/>
        <w:ind w:firstLine="480" w:firstLineChars="200"/>
        <w:rPr>
          <w:rFonts w:hint="eastAsia" w:ascii="方正仿宋_GBK" w:hAnsi="宋体" w:eastAsia="方正仿宋_GBK"/>
          <w:sz w:val="24"/>
          <w:szCs w:val="24"/>
          <w:lang w:val="en-US" w:eastAsia="zh-CN"/>
        </w:rPr>
      </w:pP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42913422"/>
      <w:bookmarkStart w:id="51" w:name="_Toc313888363"/>
      <w:bookmarkStart w:id="52"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5"/>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5"/>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06034663"/>
      <w:bookmarkStart w:id="54" w:name="_Toc17010"/>
      <w:bookmarkStart w:id="55" w:name="_Toc2080"/>
      <w:bookmarkStart w:id="56" w:name="_Toc65660383"/>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1E51EE4-2108-4277-9268-8BEDFEAC3DD1}"/>
  </w:font>
  <w:font w:name="仿宋">
    <w:panose1 w:val="02010609060101010101"/>
    <w:charset w:val="86"/>
    <w:family w:val="modern"/>
    <w:pitch w:val="default"/>
    <w:sig w:usb0="800002BF" w:usb1="38CF7CFA" w:usb2="00000016" w:usb3="00000000" w:csb0="00040001" w:csb1="00000000"/>
    <w:embedRegular r:id="rId2" w:fontKey="{B5865FD7-71D8-4D9F-A4BE-556A741DED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09B23C20"/>
    <w:multiLevelType w:val="singleLevel"/>
    <w:tmpl w:val="09B23C20"/>
    <w:lvl w:ilvl="0" w:tentative="0">
      <w:start w:val="1"/>
      <w:numFmt w:val="decimal"/>
      <w:suff w:val="nothing"/>
      <w:lvlText w:val="%1、"/>
      <w:lvlJc w:val="left"/>
    </w:lvl>
  </w:abstractNum>
  <w:abstractNum w:abstractNumId="3">
    <w:nsid w:val="2B3B8C58"/>
    <w:multiLevelType w:val="singleLevel"/>
    <w:tmpl w:val="2B3B8C58"/>
    <w:lvl w:ilvl="0" w:tentative="0">
      <w:start w:val="5"/>
      <w:numFmt w:val="chineseCounting"/>
      <w:suff w:val="nothing"/>
      <w:lvlText w:val="（%1）"/>
      <w:lvlJc w:val="left"/>
      <w:rPr>
        <w:rFonts w:hint="eastAsia"/>
      </w:rPr>
    </w:lvl>
  </w:abstractNum>
  <w:abstractNum w:abstractNumId="4">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643AD9"/>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176B38"/>
    <w:rsid w:val="162A75BE"/>
    <w:rsid w:val="16A60816"/>
    <w:rsid w:val="17531E38"/>
    <w:rsid w:val="17D36533"/>
    <w:rsid w:val="17F26FAE"/>
    <w:rsid w:val="18492EA2"/>
    <w:rsid w:val="18687FAE"/>
    <w:rsid w:val="19072D07"/>
    <w:rsid w:val="19804882"/>
    <w:rsid w:val="198A3FF9"/>
    <w:rsid w:val="1AAE21D3"/>
    <w:rsid w:val="1AC856F5"/>
    <w:rsid w:val="1B29740D"/>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CA90352"/>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FA01AB"/>
    <w:rsid w:val="443474E0"/>
    <w:rsid w:val="44A168CC"/>
    <w:rsid w:val="44A17DC5"/>
    <w:rsid w:val="44A8542F"/>
    <w:rsid w:val="44E95A32"/>
    <w:rsid w:val="451021B3"/>
    <w:rsid w:val="455C68C0"/>
    <w:rsid w:val="45F2699E"/>
    <w:rsid w:val="4684760A"/>
    <w:rsid w:val="47217087"/>
    <w:rsid w:val="472E3198"/>
    <w:rsid w:val="478A5995"/>
    <w:rsid w:val="49664A06"/>
    <w:rsid w:val="4A1946C3"/>
    <w:rsid w:val="4A657908"/>
    <w:rsid w:val="4A925B32"/>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E01C21"/>
    <w:rsid w:val="527479F3"/>
    <w:rsid w:val="528162F2"/>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706B3"/>
    <w:rsid w:val="5E3B6EA6"/>
    <w:rsid w:val="5E47584B"/>
    <w:rsid w:val="5EC809F4"/>
    <w:rsid w:val="5EEE5C68"/>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AE32DC9"/>
    <w:rsid w:val="6BA36B5C"/>
    <w:rsid w:val="6C1F3525"/>
    <w:rsid w:val="6C2F6015"/>
    <w:rsid w:val="6DC522E8"/>
    <w:rsid w:val="6EC47755"/>
    <w:rsid w:val="6EFD7139"/>
    <w:rsid w:val="6EFF2DD3"/>
    <w:rsid w:val="70054579"/>
    <w:rsid w:val="708B4D5C"/>
    <w:rsid w:val="7107171B"/>
    <w:rsid w:val="723A6707"/>
    <w:rsid w:val="72C377F4"/>
    <w:rsid w:val="73B21561"/>
    <w:rsid w:val="73CE6CA6"/>
    <w:rsid w:val="73EA2176"/>
    <w:rsid w:val="745D6EFB"/>
    <w:rsid w:val="746C560B"/>
    <w:rsid w:val="74B56105"/>
    <w:rsid w:val="7553696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17</Pages>
  <Words>4930</Words>
  <Characters>5170</Characters>
  <Lines>12</Lines>
  <Paragraphs>3</Paragraphs>
  <TotalTime>8</TotalTime>
  <ScaleCrop>false</ScaleCrop>
  <LinksUpToDate>false</LinksUpToDate>
  <CharactersWithSpaces>6085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2025-03-24T07:49:52Z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