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医院基础卫生材料常规</w:t>
      </w:r>
      <w:r>
        <w:rPr>
          <w:rFonts w:hint="default" w:ascii="Times New Roman" w:hAnsi="Times New Roman" w:eastAsia="方正仿宋_GBK" w:cs="Times New Roman"/>
          <w:b/>
          <w:bCs/>
          <w:color w:val="000000"/>
          <w:sz w:val="28"/>
          <w:szCs w:val="28"/>
          <w:lang w:val="en-US" w:eastAsia="zh-CN"/>
        </w:rPr>
        <w:t>采购需求文件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重庆市第四人民医院曾两次</w:t>
      </w:r>
      <w:r>
        <w:rPr>
          <w:rFonts w:hint="default" w:ascii="Times New Roman" w:hAnsi="Times New Roman" w:eastAsia="方正仿宋_GBK" w:cs="Times New Roman"/>
          <w:color w:val="000000"/>
          <w:sz w:val="24"/>
          <w:szCs w:val="24"/>
        </w:rPr>
        <w:t>对</w:t>
      </w:r>
      <w:r>
        <w:rPr>
          <w:rFonts w:hint="default" w:ascii="Times New Roman" w:hAnsi="Times New Roman" w:eastAsia="方正仿宋_GBK" w:cs="Times New Roman"/>
          <w:color w:val="000000"/>
          <w:sz w:val="24"/>
          <w:szCs w:val="24"/>
          <w:lang w:val="en-US" w:eastAsia="zh-CN"/>
        </w:rPr>
        <w:t>下列</w:t>
      </w:r>
      <w:r>
        <w:rPr>
          <w:rFonts w:hint="default" w:ascii="Times New Roman" w:hAnsi="Times New Roman" w:eastAsia="方正仿宋_GBK" w:cs="Times New Roman"/>
          <w:color w:val="000000"/>
          <w:sz w:val="24"/>
          <w:szCs w:val="24"/>
        </w:rPr>
        <w:t>产品</w:t>
      </w:r>
      <w:r>
        <w:rPr>
          <w:rFonts w:hint="default" w:ascii="Times New Roman" w:hAnsi="Times New Roman" w:eastAsia="方正仿宋_GBK" w:cs="Times New Roman"/>
          <w:color w:val="000000"/>
          <w:sz w:val="24"/>
          <w:szCs w:val="24"/>
          <w:lang w:val="en-US" w:eastAsia="zh-CN"/>
        </w:rPr>
        <w:t>发布采购公告，均由于递交响应材料的供应商不足三家，采购终止。现发布第三次采购公告，</w:t>
      </w:r>
      <w:r>
        <w:rPr>
          <w:rFonts w:hint="default" w:ascii="Times New Roman" w:hAnsi="Times New Roman" w:eastAsia="方正仿宋_GBK" w:cs="Times New Roman"/>
          <w:color w:val="000000"/>
          <w:sz w:val="24"/>
          <w:szCs w:val="24"/>
        </w:rPr>
        <w:t>欢迎具有相关资质且有良好信誉和配送能力的单位（公司）参</w:t>
      </w:r>
      <w:r>
        <w:rPr>
          <w:rFonts w:hint="default" w:ascii="Times New Roman" w:hAnsi="Times New Roman" w:eastAsia="方正仿宋_GBK" w:cs="Times New Roman"/>
          <w:color w:val="000000"/>
          <w:sz w:val="24"/>
          <w:szCs w:val="24"/>
          <w:lang w:val="en-US" w:eastAsia="zh-CN"/>
        </w:rPr>
        <w:t>与竞争</w:t>
      </w:r>
      <w:r>
        <w:rPr>
          <w:rFonts w:hint="default" w:ascii="Times New Roman" w:hAnsi="Times New Roman" w:eastAsia="方正仿宋_GBK" w:cs="Times New Roman"/>
          <w:color w:val="000000"/>
          <w:sz w:val="24"/>
          <w:szCs w:val="24"/>
        </w:rPr>
        <w:t>。</w:t>
      </w:r>
    </w:p>
    <w:bookmarkEnd w:id="0"/>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3"/>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54"/>
        <w:gridCol w:w="2506"/>
        <w:gridCol w:w="1680"/>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1554"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2506"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说明</w:t>
            </w:r>
          </w:p>
        </w:tc>
        <w:tc>
          <w:tcPr>
            <w:tcW w:w="168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904"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1554"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一次性使用头皮夹</w:t>
            </w:r>
          </w:p>
        </w:tc>
        <w:tc>
          <w:tcPr>
            <w:tcW w:w="2506"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用于临床手术时固定头皮</w:t>
            </w:r>
          </w:p>
        </w:tc>
        <w:tc>
          <w:tcPr>
            <w:tcW w:w="1680" w:type="dxa"/>
            <w:vMerge w:val="restart"/>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904" w:type="dxa"/>
            <w:vMerge w:val="restart"/>
            <w:tcBorders>
              <w:left w:val="single" w:color="auto" w:sz="4" w:space="0"/>
              <w:right w:val="single" w:color="auto" w:sz="4" w:space="0"/>
            </w:tcBorders>
            <w:vAlign w:val="center"/>
          </w:tcPr>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原则上进行线上采购。        </w:t>
            </w:r>
          </w:p>
          <w:p>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1554"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组织固定液</w:t>
            </w:r>
          </w:p>
        </w:tc>
        <w:tc>
          <w:tcPr>
            <w:tcW w:w="2506"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10%福尔马林中性固定液</w:t>
            </w:r>
          </w:p>
        </w:tc>
        <w:tc>
          <w:tcPr>
            <w:tcW w:w="168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5</w:t>
            </w:r>
          </w:p>
        </w:tc>
        <w:tc>
          <w:tcPr>
            <w:tcW w:w="1554"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一次性无菌冲洗器</w:t>
            </w:r>
          </w:p>
        </w:tc>
        <w:tc>
          <w:tcPr>
            <w:tcW w:w="2506"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用于临床进行五官部位的冲洗</w:t>
            </w:r>
          </w:p>
        </w:tc>
        <w:tc>
          <w:tcPr>
            <w:tcW w:w="168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30975"/>
      <w:bookmarkStart w:id="6" w:name="_Toc24964"/>
      <w:bookmarkStart w:id="7" w:name="_Toc530045187"/>
      <w:r>
        <w:rPr>
          <w:rFonts w:hint="default" w:ascii="Times New Roman" w:hAnsi="Times New Roman" w:eastAsia="方正仿宋_GBK" w:cs="Times New Roman"/>
          <w:color w:val="000000"/>
          <w:sz w:val="24"/>
          <w:szCs w:val="24"/>
        </w:rPr>
        <w:t>三、供应商的资格条件</w:t>
      </w:r>
      <w:bookmarkEnd w:id="5"/>
      <w:bookmarkEnd w:id="6"/>
      <w:bookmarkEnd w:id="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9401"/>
      <w:bookmarkStart w:id="9" w:name="_Toc17509"/>
      <w:bookmarkStart w:id="10" w:name="_Toc1965"/>
      <w:bookmarkStart w:id="11" w:name="_Toc6178"/>
      <w:bookmarkStart w:id="12" w:name="_Toc22548773"/>
      <w:bookmarkStart w:id="13" w:name="_Toc26564"/>
      <w:bookmarkStart w:id="14" w:name="_Toc3976"/>
      <w:bookmarkStart w:id="15" w:name="_Toc21930"/>
      <w:bookmarkStart w:id="16" w:name="_Toc3374"/>
      <w:bookmarkStart w:id="17" w:name="_Toc11412"/>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16</w:t>
      </w:r>
      <w:r>
        <w:rPr>
          <w:rFonts w:hint="default" w:ascii="Times New Roman" w:hAnsi="Times New Roman" w:eastAsia="方正仿宋_GBK" w:cs="Times New Roman"/>
          <w:color w:val="000000"/>
          <w:sz w:val="24"/>
          <w:szCs w:val="24"/>
        </w:rPr>
        <w:t>日）起三个工作日。</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21</w:t>
      </w:r>
      <w:bookmarkStart w:id="53" w:name="_GoBack"/>
      <w:bookmarkEnd w:id="53"/>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517367960"/>
      <w:bookmarkStart w:id="19" w:name="_Toc6933"/>
      <w:bookmarkStart w:id="20" w:name="_Toc31639"/>
      <w:bookmarkStart w:id="21" w:name="_Toc13490"/>
      <w:bookmarkStart w:id="22" w:name="_Toc8132"/>
      <w:bookmarkStart w:id="23" w:name="_Toc527828387"/>
      <w:bookmarkStart w:id="24" w:name="_Toc517368027"/>
      <w:bookmarkStart w:id="25" w:name="_Toc21862"/>
      <w:bookmarkStart w:id="26" w:name="_Toc22978"/>
      <w:bookmarkStart w:id="27" w:name="_Toc31810"/>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15317"/>
      <w:bookmarkStart w:id="30" w:name="_Toc24060"/>
      <w:bookmarkStart w:id="31" w:name="_Toc517368028"/>
      <w:bookmarkStart w:id="32" w:name="_Toc24167"/>
      <w:bookmarkStart w:id="33" w:name="_Toc527828388"/>
      <w:bookmarkStart w:id="34" w:name="_Toc20734"/>
      <w:bookmarkStart w:id="35" w:name="_Toc1495"/>
      <w:bookmarkStart w:id="36" w:name="_Toc517367961"/>
      <w:bookmarkStart w:id="37" w:name="_Toc2188"/>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pPr>
        <w:pStyle w:val="5"/>
        <w:jc w:val="center"/>
        <w:rPr>
          <w:rFonts w:hint="default" w:ascii="Times New Roman" w:hAnsi="Times New Roman" w:eastAsia="方正仿宋_GBK" w:cs="Times New Roman"/>
          <w:b/>
          <w:bCs/>
          <w:sz w:val="28"/>
          <w:szCs w:val="32"/>
          <w:lang w:val="en-US" w:eastAsia="zh-CN"/>
        </w:rPr>
      </w:pPr>
    </w:p>
    <w:p>
      <w:pPr>
        <w:pStyle w:val="5"/>
        <w:jc w:val="center"/>
        <w:rPr>
          <w:rFonts w:hint="default" w:ascii="Times New Roman" w:hAnsi="Times New Roman" w:eastAsia="方正仿宋_GBK" w:cs="Times New Roman"/>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pPr>
        <w:spacing w:line="400" w:lineRule="exact"/>
        <w:ind w:firstLine="480" w:firstLineChars="200"/>
        <w:rPr>
          <w:rFonts w:hint="default" w:ascii="Times New Roman" w:hAnsi="Times New Roman" w:eastAsia="方正仿宋_GBK" w:cs="Times New Roman"/>
          <w:sz w:val="24"/>
          <w:szCs w:val="24"/>
        </w:rPr>
      </w:pPr>
    </w:p>
    <w:p>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pPr>
        <w:snapToGrid w:val="0"/>
        <w:spacing w:line="500" w:lineRule="exact"/>
        <w:ind w:firstLine="480" w:firstLineChars="200"/>
        <w:rPr>
          <w:rFonts w:hint="default" w:ascii="Times New Roman" w:hAnsi="Times New Roman" w:eastAsia="方正仿宋_GBK" w:cs="Times New Roman"/>
          <w:sz w:val="24"/>
          <w:szCs w:val="28"/>
        </w:rPr>
      </w:pPr>
    </w:p>
    <w:p>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pPr>
        <w:spacing w:line="360" w:lineRule="auto"/>
        <w:ind w:right="480" w:firstLine="6480" w:firstLineChars="2700"/>
        <w:rPr>
          <w:rFonts w:hint="default" w:ascii="Times New Roman" w:hAnsi="Times New Roman" w:eastAsia="方正仿宋_GBK" w:cs="Times New Roman"/>
          <w:sz w:val="24"/>
          <w:szCs w:val="24"/>
        </w:rPr>
      </w:pPr>
    </w:p>
    <w:p>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42913421"/>
      <w:bookmarkStart w:id="40" w:name="_Toc313888362"/>
      <w:bookmarkStart w:id="41" w:name="_Toc313008358"/>
      <w:bookmarkStart w:id="42" w:name="_Toc65660382"/>
      <w:bookmarkStart w:id="43" w:name="_Toc20162"/>
      <w:bookmarkStart w:id="44" w:name="_Toc2082"/>
      <w:bookmarkStart w:id="45" w:name="_Toc10603466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888363"/>
      <w:bookmarkStart w:id="47" w:name="_Toc342913422"/>
      <w:bookmarkStart w:id="48" w:name="_Toc313008359"/>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pPr>
        <w:tabs>
          <w:tab w:val="left" w:pos="6300"/>
        </w:tabs>
        <w:snapToGrid w:val="0"/>
        <w:spacing w:line="530" w:lineRule="exact"/>
        <w:rPr>
          <w:rFonts w:hint="default" w:ascii="Times New Roman" w:hAnsi="Times New Roman"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pPr>
        <w:widowControl/>
        <w:spacing w:line="400" w:lineRule="exact"/>
        <w:ind w:firstLine="480" w:firstLineChars="200"/>
        <w:jc w:val="left"/>
        <w:rPr>
          <w:rFonts w:hint="default" w:ascii="Times New Roman" w:hAnsi="Times New Roman" w:eastAsia="方正仿宋_GBK" w:cs="Times New Roman"/>
          <w:sz w:val="24"/>
          <w:szCs w:val="24"/>
        </w:r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65660383"/>
      <w:bookmarkStart w:id="50" w:name="_Toc2080"/>
      <w:bookmarkStart w:id="51" w:name="_Toc106034663"/>
      <w:bookmarkStart w:id="52" w:name="_Toc1701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pPr>
        <w:pStyle w:val="6"/>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EA6B0249-44AB-43B4-8F0D-8F7F95097DA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7B45BE7"/>
    <w:rsid w:val="08041D76"/>
    <w:rsid w:val="08345E93"/>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1D75A2A"/>
    <w:rsid w:val="12FB1E07"/>
    <w:rsid w:val="133F76F0"/>
    <w:rsid w:val="134E6759"/>
    <w:rsid w:val="13704662"/>
    <w:rsid w:val="13814630"/>
    <w:rsid w:val="13AE356E"/>
    <w:rsid w:val="13DF3FC3"/>
    <w:rsid w:val="145E01B8"/>
    <w:rsid w:val="14A409DB"/>
    <w:rsid w:val="15625621"/>
    <w:rsid w:val="15F441A8"/>
    <w:rsid w:val="16680B1D"/>
    <w:rsid w:val="16A60816"/>
    <w:rsid w:val="17F26FAE"/>
    <w:rsid w:val="18492EA2"/>
    <w:rsid w:val="185E2AB3"/>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E77460"/>
    <w:rsid w:val="233C7F0F"/>
    <w:rsid w:val="23F95523"/>
    <w:rsid w:val="240B2D63"/>
    <w:rsid w:val="2437495C"/>
    <w:rsid w:val="259B2A11"/>
    <w:rsid w:val="26030B51"/>
    <w:rsid w:val="260852E0"/>
    <w:rsid w:val="26A83F7A"/>
    <w:rsid w:val="27906EE8"/>
    <w:rsid w:val="27B842BA"/>
    <w:rsid w:val="280E56C1"/>
    <w:rsid w:val="28B74948"/>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1162898"/>
    <w:rsid w:val="327114A6"/>
    <w:rsid w:val="34192013"/>
    <w:rsid w:val="34DF325D"/>
    <w:rsid w:val="3542559A"/>
    <w:rsid w:val="35683252"/>
    <w:rsid w:val="356E302D"/>
    <w:rsid w:val="35B65708"/>
    <w:rsid w:val="36170071"/>
    <w:rsid w:val="365F5254"/>
    <w:rsid w:val="36643853"/>
    <w:rsid w:val="36825B67"/>
    <w:rsid w:val="371210D2"/>
    <w:rsid w:val="3773735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D877C69"/>
    <w:rsid w:val="3E06185A"/>
    <w:rsid w:val="3E752DC9"/>
    <w:rsid w:val="3F1A02E0"/>
    <w:rsid w:val="4047556D"/>
    <w:rsid w:val="407A652F"/>
    <w:rsid w:val="407C5E04"/>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6FE3A44"/>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7A2BC9"/>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4402</Words>
  <Characters>4607</Characters>
  <Lines>12</Lines>
  <Paragraphs>3</Paragraphs>
  <ScaleCrop>false</ScaleCrop>
  <LinksUpToDate>false</LinksUpToDate>
  <CharactersWithSpaces>5397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2024-10-16T11:09:24Z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