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凝聚胺介质试剂常规采购需求文件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287" w:type="dxa"/>
        <w:jc w:val="center"/>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74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74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17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凝聚胺介质试剂</w:t>
            </w:r>
          </w:p>
        </w:tc>
        <w:tc>
          <w:tcPr>
            <w:tcW w:w="174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21930"/>
      <w:bookmarkStart w:id="10" w:name="_Toc1965"/>
      <w:bookmarkStart w:id="11" w:name="_Toc26564"/>
      <w:bookmarkStart w:id="12" w:name="_Toc3374"/>
      <w:bookmarkStart w:id="13" w:name="_Toc9401"/>
      <w:bookmarkStart w:id="14" w:name="_Toc3976"/>
      <w:bookmarkStart w:id="15" w:name="_Toc6178"/>
      <w:bookmarkStart w:id="16" w:name="_Toc11412"/>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21862"/>
      <w:bookmarkStart w:id="20" w:name="_Toc6933"/>
      <w:bookmarkStart w:id="21" w:name="_Toc517368027"/>
      <w:bookmarkStart w:id="22" w:name="_Toc527828387"/>
      <w:bookmarkStart w:id="23" w:name="_Toc31810"/>
      <w:bookmarkStart w:id="24" w:name="_Toc517367960"/>
      <w:bookmarkStart w:id="25" w:name="_Toc31639"/>
      <w:bookmarkStart w:id="26" w:name="_Toc13490"/>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2188"/>
      <w:bookmarkStart w:id="31" w:name="_Toc517367961"/>
      <w:bookmarkStart w:id="32" w:name="_Toc24060"/>
      <w:bookmarkStart w:id="33" w:name="_Toc517368028"/>
      <w:bookmarkStart w:id="34" w:name="_Toc24167"/>
      <w:bookmarkStart w:id="35" w:name="_Toc1495"/>
      <w:bookmarkStart w:id="36" w:name="_Toc20734"/>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8C6ECAF2-1386-410D-9E5D-75E55AE9D2C8}"/>
  </w:font>
  <w:font w:name="仿宋">
    <w:panose1 w:val="02010609060101010101"/>
    <w:charset w:val="86"/>
    <w:family w:val="modern"/>
    <w:pitch w:val="default"/>
    <w:sig w:usb0="800002BF" w:usb1="38CF7CFA" w:usb2="00000016" w:usb3="00000000" w:csb0="00040001" w:csb1="00000000"/>
    <w:embedRegular r:id="rId2" w:fontKey="{8934942D-DD88-40A4-9A99-B7255304FD0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6EA3484"/>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2024-08-28T08:19:57Z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