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医用整形类低值耗材常规采购需求文件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医用整形类低值耗材常规采购项目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347"/>
        <w:gridCol w:w="1890"/>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1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低值医用耗材类别名称</w:t>
            </w:r>
          </w:p>
        </w:tc>
        <w:tc>
          <w:tcPr>
            <w:tcW w:w="2347"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189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85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1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整形材料</w:t>
            </w:r>
          </w:p>
        </w:tc>
        <w:tc>
          <w:tcPr>
            <w:tcW w:w="2347" w:type="dxa"/>
            <w:tcBorders>
              <w:left w:val="single" w:color="auto" w:sz="4" w:space="0"/>
              <w:right w:val="single" w:color="auto" w:sz="4" w:space="0"/>
            </w:tcBorders>
            <w:vAlign w:val="center"/>
          </w:tcPr>
          <w:p>
            <w:pPr>
              <w:keepNext/>
              <w:keepLines/>
              <w:spacing w:line="240" w:lineRule="auto"/>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仅限以下产品：修饰透明质酸钠凝胶；导光凝胶。</w:t>
            </w:r>
          </w:p>
        </w:tc>
        <w:tc>
          <w:tcPr>
            <w:tcW w:w="189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85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 xml:space="preserve">                         4、</w:t>
            </w:r>
            <w:r>
              <w:rPr>
                <w:rFonts w:hint="eastAsia" w:ascii="方正仿宋_GBK" w:hAnsi="方正仿宋_GBK" w:eastAsia="方正仿宋_GBK" w:cs="方正仿宋_GBK"/>
                <w:color w:val="auto"/>
                <w:sz w:val="24"/>
                <w:szCs w:val="24"/>
                <w:lang w:val="en-US" w:eastAsia="zh-CN"/>
              </w:rPr>
              <w:t>2024年医院已按照医保分类进行过遴选采购的产品除外。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1412"/>
      <w:bookmarkStart w:id="9" w:name="_Toc3374"/>
      <w:bookmarkStart w:id="10" w:name="_Toc26564"/>
      <w:bookmarkStart w:id="11" w:name="_Toc17509"/>
      <w:bookmarkStart w:id="12" w:name="_Toc6178"/>
      <w:bookmarkStart w:id="13" w:name="_Toc22548773"/>
      <w:bookmarkStart w:id="14" w:name="_Toc3976"/>
      <w:bookmarkStart w:id="15" w:name="_Toc9401"/>
      <w:bookmarkStart w:id="16" w:name="_Toc1965"/>
      <w:bookmarkStart w:id="17" w:name="_Toc21930"/>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2978"/>
      <w:bookmarkStart w:id="19" w:name="_Toc527828387"/>
      <w:bookmarkStart w:id="20" w:name="_Toc8132"/>
      <w:bookmarkStart w:id="21" w:name="_Toc31639"/>
      <w:bookmarkStart w:id="22" w:name="_Toc13490"/>
      <w:bookmarkStart w:id="23" w:name="_Toc21862"/>
      <w:bookmarkStart w:id="24" w:name="_Toc517367960"/>
      <w:bookmarkStart w:id="25" w:name="_Toc31810"/>
      <w:bookmarkStart w:id="26" w:name="_Toc6933"/>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24060"/>
      <w:bookmarkStart w:id="31" w:name="_Toc2188"/>
      <w:bookmarkStart w:id="32" w:name="_Toc15317"/>
      <w:bookmarkStart w:id="33" w:name="_Toc517367961"/>
      <w:bookmarkStart w:id="34" w:name="_Toc24167"/>
      <w:bookmarkStart w:id="35" w:name="_Toc527828388"/>
      <w:bookmarkStart w:id="36" w:name="_Toc1495"/>
      <w:bookmarkStart w:id="37" w:name="_Toc51736802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bookmarkStart w:id="53" w:name="_GoBack"/>
      <w:bookmarkEnd w:id="53"/>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20162"/>
      <w:bookmarkStart w:id="43" w:name="_Toc106034662"/>
      <w:bookmarkStart w:id="44" w:name="_Toc6566038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2080"/>
      <w:bookmarkStart w:id="51" w:name="_Toc10603466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5F970117-FB7C-4DDD-A574-EFED93A8C5F2}"/>
  </w:font>
  <w:font w:name="仿宋">
    <w:panose1 w:val="02010609060101010101"/>
    <w:charset w:val="86"/>
    <w:family w:val="modern"/>
    <w:pitch w:val="default"/>
    <w:sig w:usb0="800002BF" w:usb1="38CF7CFA" w:usb2="00000016" w:usb3="00000000" w:csb0="00040001" w:csb1="00000000"/>
    <w:embedRegular r:id="rId2" w:fontKey="{941B130D-DDA4-4FE3-A8F5-D7CB6267117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ZDM0YzFmZjNiMzM0MWIzODI4OWJiNjFkNzYxZD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37495C"/>
    <w:rsid w:val="259B2A11"/>
    <w:rsid w:val="26030B51"/>
    <w:rsid w:val="260852E0"/>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4410</Words>
  <Characters>4648</Characters>
  <Lines>12</Lines>
  <Paragraphs>3</Paragraphs>
  <TotalTime>0</TotalTime>
  <ScaleCrop>false</ScaleCrop>
  <LinksUpToDate>false</LinksUpToDate>
  <CharactersWithSpaces>5467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2024-07-26T04:31:39Z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