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人工器官、组织及配套材料常规采购需求文件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97"/>
        <w:gridCol w:w="3407"/>
        <w:gridCol w:w="1686"/>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83"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604"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8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5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3"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9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340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8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55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19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0607</w:t>
            </w:r>
          </w:p>
        </w:tc>
        <w:tc>
          <w:tcPr>
            <w:tcW w:w="34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人体器官填充材料</w:t>
            </w:r>
          </w:p>
        </w:tc>
        <w:tc>
          <w:tcPr>
            <w:tcW w:w="1686"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5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9401"/>
      <w:bookmarkStart w:id="9" w:name="_Toc1965"/>
      <w:bookmarkStart w:id="10" w:name="_Toc17509"/>
      <w:bookmarkStart w:id="11" w:name="_Toc26564"/>
      <w:bookmarkStart w:id="12" w:name="_Toc3374"/>
      <w:bookmarkStart w:id="13" w:name="_Toc6178"/>
      <w:bookmarkStart w:id="14" w:name="_Toc11412"/>
      <w:bookmarkStart w:id="15" w:name="_Toc21930"/>
      <w:bookmarkStart w:id="16" w:name="_Toc3976"/>
      <w:bookmarkStart w:id="17" w:name="_Toc22548773"/>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13490"/>
      <w:bookmarkStart w:id="20" w:name="_Toc527828387"/>
      <w:bookmarkStart w:id="21" w:name="_Toc31639"/>
      <w:bookmarkStart w:id="22" w:name="_Toc21862"/>
      <w:bookmarkStart w:id="23" w:name="_Toc31810"/>
      <w:bookmarkStart w:id="24" w:name="_Toc8132"/>
      <w:bookmarkStart w:id="25" w:name="_Toc6933"/>
      <w:bookmarkStart w:id="26" w:name="_Toc517368027"/>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24167"/>
      <w:bookmarkStart w:id="31" w:name="_Toc15317"/>
      <w:bookmarkStart w:id="32" w:name="_Toc24060"/>
      <w:bookmarkStart w:id="33" w:name="_Toc527828388"/>
      <w:bookmarkStart w:id="34" w:name="_Toc1495"/>
      <w:bookmarkStart w:id="35" w:name="_Toc517368028"/>
      <w:bookmarkStart w:id="36" w:name="_Toc2188"/>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8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96D85E8A-5016-4870-98E0-6C2C9CACD601}"/>
  </w:font>
  <w:font w:name="仿宋">
    <w:panose1 w:val="02010609060101010101"/>
    <w:charset w:val="86"/>
    <w:family w:val="modern"/>
    <w:pitch w:val="default"/>
    <w:sig w:usb0="800002BF" w:usb1="38CF7CFA" w:usb2="00000016" w:usb3="00000000" w:csb0="00040001" w:csb1="00000000"/>
    <w:embedRegular r:id="rId2" w:fontKey="{FBF08B89-3D2F-4375-81E5-09543496CB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26E4C36"/>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2024-06-25T06:12:36Z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