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b/>
          <w:bCs/>
          <w:kern w:val="0"/>
          <w:sz w:val="32"/>
          <w:szCs w:val="32"/>
          <w:lang w:val="en-US" w:eastAsia="zh-CN"/>
        </w:rPr>
        <w:t>科学城院区资金结算服务项目需求文件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重庆市第四人民医院本着公平、公正、公开、诚信的原则，拟对科学城院区资金结算服务项目进行竞争性磋商。欢迎具有</w:t>
      </w:r>
      <w:r>
        <w:rPr>
          <w:rFonts w:hint="eastAsia" w:ascii="方正仿宋_GBK" w:hAnsi="方正仿宋_GBK" w:eastAsia="方正仿宋_GBK" w:cs="方正仿宋_GBK"/>
          <w:kern w:val="0"/>
          <w:sz w:val="24"/>
          <w:szCs w:val="24"/>
          <w:lang w:val="en-US" w:eastAsia="zh-CN"/>
        </w:rPr>
        <w:t>相关资质且有良好信誉和</w:t>
      </w:r>
      <w:r>
        <w:rPr>
          <w:rFonts w:hint="eastAsia" w:ascii="方正仿宋_GBK" w:hAnsi="方正仿宋_GBK" w:eastAsia="方正仿宋_GBK" w:cs="方正仿宋_GBK"/>
          <w:kern w:val="0"/>
          <w:sz w:val="24"/>
          <w:szCs w:val="24"/>
        </w:rPr>
        <w:t>服务能力的供应商前来参与磋商。</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b/>
          <w:bCs/>
          <w:kern w:val="0"/>
          <w:sz w:val="24"/>
          <w:szCs w:val="24"/>
        </w:rPr>
        <w:t>一、</w:t>
      </w:r>
      <w:r>
        <w:rPr>
          <w:rFonts w:hint="eastAsia" w:ascii="方正仿宋_GBK" w:hAnsi="方正仿宋_GBK" w:eastAsia="方正仿宋_GBK" w:cs="方正仿宋_GBK"/>
          <w:b/>
          <w:bCs/>
          <w:kern w:val="0"/>
          <w:sz w:val="24"/>
          <w:szCs w:val="24"/>
          <w:lang w:val="en-US" w:eastAsia="zh-CN"/>
        </w:rPr>
        <w:t>项目</w:t>
      </w:r>
      <w:r>
        <w:rPr>
          <w:rFonts w:hint="eastAsia" w:ascii="方正仿宋_GBK" w:hAnsi="方正仿宋_GBK" w:eastAsia="方正仿宋_GBK" w:cs="方正仿宋_GBK"/>
          <w:b/>
          <w:bCs/>
          <w:kern w:val="0"/>
          <w:sz w:val="24"/>
          <w:szCs w:val="24"/>
        </w:rPr>
        <w:t>内容</w:t>
      </w:r>
      <w:r>
        <w:rPr>
          <w:rFonts w:hint="eastAsia" w:ascii="方正仿宋_GBK" w:hAnsi="方正仿宋_GBK" w:eastAsia="方正仿宋_GBK" w:cs="方正仿宋_GBK"/>
          <w:b/>
          <w:bCs/>
          <w:kern w:val="0"/>
          <w:sz w:val="24"/>
          <w:szCs w:val="24"/>
          <w:lang w:eastAsia="zh-CN"/>
        </w:rPr>
        <w:t>：</w:t>
      </w:r>
      <w:r>
        <w:rPr>
          <w:rFonts w:hint="eastAsia" w:ascii="方正仿宋_GBK" w:hAnsi="方正仿宋_GBK" w:eastAsia="方正仿宋_GBK" w:cs="方正仿宋_GBK"/>
          <w:kern w:val="0"/>
          <w:sz w:val="24"/>
          <w:szCs w:val="24"/>
        </w:rPr>
        <w:t>科学城院区资金结算服务</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kern w:val="0"/>
          <w:sz w:val="24"/>
          <w:szCs w:val="24"/>
          <w:lang w:eastAsia="zh-CN"/>
        </w:rPr>
      </w:pPr>
      <w:r>
        <w:rPr>
          <w:rFonts w:hint="eastAsia" w:ascii="方正仿宋_GBK" w:hAnsi="方正仿宋_GBK" w:eastAsia="方正仿宋_GBK" w:cs="方正仿宋_GBK"/>
          <w:b/>
          <w:bCs/>
          <w:kern w:val="0"/>
          <w:sz w:val="24"/>
          <w:szCs w:val="24"/>
        </w:rPr>
        <w:t>二、项目服务需求</w:t>
      </w:r>
      <w:r>
        <w:rPr>
          <w:rFonts w:hint="eastAsia" w:ascii="方正仿宋_GBK" w:hAnsi="方正仿宋_GBK" w:eastAsia="方正仿宋_GBK" w:cs="方正仿宋_GBK"/>
          <w:b/>
          <w:bCs/>
          <w:kern w:val="0"/>
          <w:sz w:val="24"/>
          <w:szCs w:val="24"/>
          <w:lang w:eastAsia="zh-CN"/>
        </w:rPr>
        <w:t>：</w:t>
      </w:r>
      <w:r>
        <w:rPr>
          <w:rFonts w:hint="eastAsia" w:ascii="方正仿宋_GBK" w:hAnsi="方正仿宋_GBK" w:eastAsia="方正仿宋_GBK" w:cs="方正仿宋_GBK"/>
          <w:b w:val="0"/>
          <w:bCs w:val="0"/>
          <w:kern w:val="0"/>
          <w:sz w:val="24"/>
          <w:szCs w:val="24"/>
          <w:lang w:eastAsia="zh-CN"/>
        </w:rPr>
        <w:t>作为科学城院区唯一的结算银行，提供优质高效的银行结算服务。结算服务包括：</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kern w:val="0"/>
          <w:sz w:val="24"/>
          <w:szCs w:val="24"/>
          <w:lang w:eastAsia="zh-CN"/>
        </w:rPr>
      </w:pPr>
      <w:r>
        <w:rPr>
          <w:rFonts w:hint="eastAsia" w:ascii="方正仿宋_GBK" w:hAnsi="方正仿宋_GBK" w:eastAsia="方正仿宋_GBK" w:cs="方正仿宋_GBK"/>
          <w:b w:val="0"/>
          <w:bCs w:val="0"/>
          <w:kern w:val="0"/>
          <w:sz w:val="24"/>
          <w:szCs w:val="24"/>
          <w:lang w:val="en-US" w:eastAsia="zh-CN"/>
        </w:rPr>
        <w:t>2.1</w:t>
      </w:r>
      <w:r>
        <w:rPr>
          <w:rFonts w:hint="eastAsia" w:ascii="方正仿宋_GBK" w:hAnsi="方正仿宋_GBK" w:eastAsia="方正仿宋_GBK" w:cs="方正仿宋_GBK"/>
          <w:b w:val="0"/>
          <w:bCs w:val="0"/>
          <w:kern w:val="0"/>
          <w:sz w:val="24"/>
          <w:szCs w:val="24"/>
          <w:lang w:eastAsia="zh-CN"/>
        </w:rPr>
        <w:t>科学城院区的医疗收入（含医保收入）、培训收入等结算，但不包含财政补助资金；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kern w:val="0"/>
          <w:sz w:val="24"/>
          <w:szCs w:val="24"/>
          <w:lang w:eastAsia="zh-CN"/>
        </w:rPr>
      </w:pPr>
      <w:r>
        <w:rPr>
          <w:rFonts w:hint="eastAsia" w:ascii="方正仿宋_GBK" w:hAnsi="方正仿宋_GBK" w:eastAsia="方正仿宋_GBK" w:cs="方正仿宋_GBK"/>
          <w:b w:val="0"/>
          <w:bCs w:val="0"/>
          <w:kern w:val="0"/>
          <w:sz w:val="24"/>
          <w:szCs w:val="24"/>
          <w:lang w:val="en-US" w:eastAsia="zh-CN"/>
        </w:rPr>
        <w:t>2.2</w:t>
      </w:r>
      <w:r>
        <w:rPr>
          <w:rFonts w:hint="eastAsia" w:ascii="方正仿宋_GBK" w:hAnsi="方正仿宋_GBK" w:eastAsia="方正仿宋_GBK" w:cs="方正仿宋_GBK"/>
          <w:b w:val="0"/>
          <w:bCs w:val="0"/>
          <w:kern w:val="0"/>
          <w:sz w:val="24"/>
          <w:szCs w:val="24"/>
          <w:lang w:eastAsia="zh-CN"/>
        </w:rPr>
        <w:t>科学城院区的所有运营开支结算；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kern w:val="0"/>
          <w:sz w:val="24"/>
          <w:szCs w:val="24"/>
          <w:lang w:eastAsia="zh-CN"/>
        </w:rPr>
      </w:pPr>
      <w:r>
        <w:rPr>
          <w:rFonts w:hint="eastAsia" w:ascii="方正仿宋_GBK" w:hAnsi="方正仿宋_GBK" w:eastAsia="方正仿宋_GBK" w:cs="方正仿宋_GBK"/>
          <w:b w:val="0"/>
          <w:bCs w:val="0"/>
          <w:kern w:val="0"/>
          <w:sz w:val="24"/>
          <w:szCs w:val="24"/>
          <w:lang w:val="en-US" w:eastAsia="zh-CN"/>
        </w:rPr>
        <w:t>2.3</w:t>
      </w:r>
      <w:r>
        <w:rPr>
          <w:rFonts w:hint="eastAsia" w:ascii="方正仿宋_GBK" w:hAnsi="方正仿宋_GBK" w:eastAsia="方正仿宋_GBK" w:cs="方正仿宋_GBK"/>
          <w:b w:val="0"/>
          <w:bCs w:val="0"/>
          <w:kern w:val="0"/>
          <w:sz w:val="24"/>
          <w:szCs w:val="24"/>
          <w:lang w:eastAsia="zh-CN"/>
        </w:rPr>
        <w:t>科学城院区全体员工（含编内编外）工资绩效等薪酬发放服务（自医院正式开诊日起三年后，薪酬发放人员数不低于1000人）。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lang w:val="en-US" w:eastAsia="zh-CN"/>
        </w:rPr>
      </w:pPr>
      <w:r>
        <w:rPr>
          <w:rFonts w:hint="eastAsia" w:ascii="方正仿宋_GBK" w:hAnsi="方正仿宋_GBK" w:eastAsia="方正仿宋_GBK" w:cs="方正仿宋_GBK"/>
          <w:b/>
          <w:bCs/>
          <w:kern w:val="0"/>
          <w:sz w:val="24"/>
          <w:szCs w:val="24"/>
          <w:lang w:val="en-US" w:eastAsia="zh-CN"/>
        </w:rPr>
        <w:t>三、项目服务期限：</w:t>
      </w:r>
      <w:r>
        <w:rPr>
          <w:rFonts w:hint="eastAsia" w:ascii="方正仿宋_GBK" w:hAnsi="方正仿宋_GBK" w:eastAsia="方正仿宋_GBK" w:cs="方正仿宋_GBK"/>
          <w:b w:val="0"/>
          <w:bCs w:val="0"/>
          <w:kern w:val="0"/>
          <w:sz w:val="24"/>
          <w:szCs w:val="24"/>
          <w:lang w:val="en-US" w:eastAsia="zh-CN"/>
        </w:rPr>
        <w:t>自2024年1月1日至2033年12月31日十年（建设</w:t>
      </w:r>
      <w:r>
        <w:rPr>
          <w:rFonts w:hint="eastAsia" w:ascii="方正仿宋_GBK" w:hAnsi="方正仿宋_GBK" w:eastAsia="方正仿宋_GBK" w:cs="方正仿宋_GBK"/>
          <w:b w:val="0"/>
          <w:bCs w:val="0"/>
          <w:color w:val="auto"/>
          <w:kern w:val="0"/>
          <w:sz w:val="24"/>
          <w:szCs w:val="24"/>
          <w:lang w:val="en-US" w:eastAsia="zh-CN"/>
        </w:rPr>
        <w:t>期一年，运营期九年）。</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bCs/>
          <w:kern w:val="0"/>
          <w:sz w:val="24"/>
          <w:szCs w:val="24"/>
          <w:lang w:eastAsia="zh-CN"/>
        </w:rPr>
      </w:pPr>
      <w:r>
        <w:rPr>
          <w:rFonts w:hint="eastAsia" w:ascii="方正仿宋_GBK" w:hAnsi="方正仿宋_GBK" w:eastAsia="方正仿宋_GBK" w:cs="方正仿宋_GBK"/>
          <w:b/>
          <w:bCs/>
          <w:kern w:val="0"/>
          <w:sz w:val="24"/>
          <w:szCs w:val="24"/>
          <w:lang w:val="en-US" w:eastAsia="zh-CN"/>
        </w:rPr>
        <w:t>四</w:t>
      </w:r>
      <w:r>
        <w:rPr>
          <w:rFonts w:hint="eastAsia" w:ascii="方正仿宋_GBK" w:hAnsi="方正仿宋_GBK" w:eastAsia="方正仿宋_GBK" w:cs="方正仿宋_GBK"/>
          <w:b/>
          <w:bCs/>
          <w:kern w:val="0"/>
          <w:sz w:val="24"/>
          <w:szCs w:val="24"/>
        </w:rPr>
        <w:t>、供应商的资格条件</w:t>
      </w:r>
      <w:r>
        <w:rPr>
          <w:rFonts w:hint="eastAsia" w:ascii="方正仿宋_GBK" w:hAnsi="方正仿宋_GBK" w:eastAsia="方正仿宋_GBK" w:cs="方正仿宋_GBK"/>
          <w:b/>
          <w:bCs/>
          <w:kern w:val="0"/>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4.1</w:t>
      </w:r>
      <w:r>
        <w:rPr>
          <w:rFonts w:hint="eastAsia" w:ascii="方正仿宋_GBK" w:hAnsi="方正仿宋_GBK" w:eastAsia="方正仿宋_GBK" w:cs="方正仿宋_GBK"/>
          <w:kern w:val="0"/>
          <w:sz w:val="24"/>
          <w:szCs w:val="24"/>
        </w:rPr>
        <w:t>基本资格条件</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4.1.1</w:t>
      </w:r>
      <w:r>
        <w:rPr>
          <w:rFonts w:hint="eastAsia" w:ascii="方正仿宋_GBK" w:hAnsi="方正仿宋_GBK" w:eastAsia="方正仿宋_GBK" w:cs="方正仿宋_GBK"/>
          <w:kern w:val="0"/>
          <w:sz w:val="24"/>
          <w:szCs w:val="24"/>
        </w:rPr>
        <w:t>具有独立承担民事责任的能力；</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4.1.2</w:t>
      </w:r>
      <w:r>
        <w:rPr>
          <w:rFonts w:hint="eastAsia" w:ascii="方正仿宋_GBK" w:hAnsi="方正仿宋_GBK" w:eastAsia="方正仿宋_GBK" w:cs="方正仿宋_GBK"/>
          <w:kern w:val="0"/>
          <w:sz w:val="24"/>
          <w:szCs w:val="24"/>
        </w:rPr>
        <w:t>具有良好的商业信誉和健全的财务会计制度；</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4.1.3</w:t>
      </w:r>
      <w:r>
        <w:rPr>
          <w:rFonts w:hint="eastAsia" w:ascii="方正仿宋_GBK" w:hAnsi="方正仿宋_GBK" w:eastAsia="方正仿宋_GBK" w:cs="方正仿宋_GBK"/>
          <w:kern w:val="0"/>
          <w:sz w:val="24"/>
          <w:szCs w:val="24"/>
        </w:rPr>
        <w:t>具有履行合同所必需的设备和专业技术能力；</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4.1.</w:t>
      </w:r>
      <w:r>
        <w:rPr>
          <w:rFonts w:hint="eastAsia" w:ascii="方正仿宋_GBK" w:hAnsi="方正仿宋_GBK" w:eastAsia="方正仿宋_GBK" w:cs="方正仿宋_GBK"/>
          <w:kern w:val="0"/>
          <w:sz w:val="24"/>
          <w:szCs w:val="24"/>
        </w:rPr>
        <w:t>4有依法缴纳税收和社会保障资金的良好记录；</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4.1.</w:t>
      </w:r>
      <w:r>
        <w:rPr>
          <w:rFonts w:hint="eastAsia" w:ascii="方正仿宋_GBK" w:hAnsi="方正仿宋_GBK" w:eastAsia="方正仿宋_GBK" w:cs="方正仿宋_GBK"/>
          <w:kern w:val="0"/>
          <w:sz w:val="24"/>
          <w:szCs w:val="24"/>
        </w:rPr>
        <w:t>5参加政府采购活动前三年内，在经营活动中没有重大违法记录；</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4.1.6</w:t>
      </w:r>
      <w:r>
        <w:rPr>
          <w:rFonts w:hint="eastAsia" w:ascii="方正仿宋_GBK" w:hAnsi="方正仿宋_GBK" w:eastAsia="方正仿宋_GBK" w:cs="方正仿宋_GBK"/>
          <w:kern w:val="0"/>
          <w:sz w:val="24"/>
          <w:szCs w:val="24"/>
        </w:rPr>
        <w:t>法律、行政法规规定的其他条件。</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4.2</w:t>
      </w:r>
      <w:r>
        <w:rPr>
          <w:rFonts w:hint="eastAsia" w:ascii="方正仿宋_GBK" w:hAnsi="方正仿宋_GBK" w:eastAsia="方正仿宋_GBK" w:cs="方正仿宋_GBK"/>
          <w:kern w:val="0"/>
          <w:sz w:val="24"/>
          <w:szCs w:val="24"/>
        </w:rPr>
        <w:t>特定资格条件</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val="en-US" w:eastAsia="zh-CN"/>
        </w:rPr>
        <w:t>4.2.</w:t>
      </w:r>
      <w:r>
        <w:rPr>
          <w:rFonts w:hint="eastAsia" w:ascii="方正仿宋_GBK" w:hAnsi="方正仿宋_GBK" w:eastAsia="方正仿宋_GBK" w:cs="方正仿宋_GBK"/>
          <w:color w:val="auto"/>
          <w:kern w:val="0"/>
          <w:sz w:val="24"/>
          <w:szCs w:val="24"/>
        </w:rPr>
        <w:t>1供应商应为该银行重庆分行主城区内的一级分支机构。</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4.3 供应商须提供以下资质证明文件原件或复印件及其它要求的材料</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4.3.1 营业执照（副本）复印件；</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4.3.2 2022年度财务报表；</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4.3.3 供应商负责人签发的授权委托书（须明确授权范围）及身份证明（复印件加盖鲜章）；</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4.3.4 缴纳税收和社会保障金的证明材料复印件；</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4.3.5 在“信用中国”网站(www.creditchina.gov.cn)和"中国政府采购网"(www.ccgp.gov.cn)查询供应商信用记录，并截图打印查询结果；</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4.3.6 特定资格条件相关证明文件；</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4.3.7 项目服务方案、廉政承诺书；</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4.3.8 供应商认为与项目相关的其他支撑材料。</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五、供应商须知：</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5.1 凡有采购人单位领导、总会计师、财务科负责人的配偶、子女及其配偶和其他直接利益相关人员工作的银行，包括其所属分支机构不得参与本项目磋商；</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5.2 不得干扰采购人的评审活动，否则将废除其投标；</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5.3 若未中选，本院无义务对各供应商做解释工作；</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5.4 应保证所有资料的真实性。如提供不真实的材料，无论其材料是否重要，供应商需承担相应的后果及法律责任。</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六、评审方法与评审标准：</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6.1评审方法</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6.1.1评审工作由医院招标办负责组织，具体评审事务由依法组建的磋商小组负责。</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6.1.2评审工作应遵循公平，公正，科学和择优的原则，并以相同的评审程序和标准对待所有供应商。</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6.1.3磋商小组按照本文件的评审方法和标准进行评审，并独立履行下列职责：</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6.1.3.1审查响应文件是否符合本文件要求，并做出评价；</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6.1.3.2要求供应商对响应文件有关事项做出解释；</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6.1.3.3供应商总得分为经营状况、服务水平等评定因素分别按照相应权重值计算分项得分后相加，满分为100分（详见评审标准）。</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6.1.3.4依据评分结果确定成交供应商。对每个有效响应的文件进行评价、打分，然后汇总每个供应商每项评分因素的得分，按评审后得分由高到低的排列顺序推荐综合得分排名前三的供应商为本项目成交候选供应商，排名第一的为第一成交候选供应商。若供应商的评审得分相同的，按照</w:t>
      </w:r>
      <w:r>
        <w:rPr>
          <w:rFonts w:hint="eastAsia" w:ascii="方正仿宋_GBK" w:hAnsi="方正仿宋_GBK" w:eastAsia="方正仿宋_GBK" w:cs="方正仿宋_GBK"/>
          <w:b w:val="0"/>
          <w:bCs w:val="0"/>
          <w:color w:val="auto"/>
          <w:kern w:val="0"/>
          <w:sz w:val="24"/>
          <w:szCs w:val="24"/>
          <w:lang w:val="en-US" w:eastAsia="zh-CN"/>
        </w:rPr>
        <w:t>投入资源情况</w:t>
      </w:r>
      <w:r>
        <w:rPr>
          <w:rFonts w:hint="eastAsia" w:ascii="方正仿宋_GBK" w:hAnsi="方正仿宋_GBK" w:eastAsia="方正仿宋_GBK" w:cs="方正仿宋_GBK"/>
          <w:b w:val="0"/>
          <w:bCs w:val="0"/>
          <w:kern w:val="0"/>
          <w:sz w:val="24"/>
          <w:szCs w:val="24"/>
          <w:lang w:val="en-US" w:eastAsia="zh-CN"/>
        </w:rPr>
        <w:t>优劣顺序排列推荐。</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6.2评审标准</w:t>
      </w:r>
    </w:p>
    <w:tbl>
      <w:tblPr>
        <w:tblStyle w:val="7"/>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58"/>
        <w:gridCol w:w="917"/>
        <w:gridCol w:w="3905"/>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
                <w:bCs/>
                <w:color w:val="000000"/>
                <w:kern w:val="0"/>
                <w:sz w:val="24"/>
                <w:szCs w:val="24"/>
              </w:rPr>
              <w:t>类别</w:t>
            </w:r>
          </w:p>
        </w:tc>
        <w:tc>
          <w:tcPr>
            <w:tcW w:w="1458"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
                <w:bCs/>
                <w:color w:val="000000"/>
                <w:kern w:val="0"/>
                <w:sz w:val="24"/>
                <w:szCs w:val="24"/>
              </w:rPr>
              <w:t>指标</w:t>
            </w:r>
          </w:p>
        </w:tc>
        <w:tc>
          <w:tcPr>
            <w:tcW w:w="917"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
                <w:bCs/>
                <w:color w:val="000000"/>
                <w:kern w:val="0"/>
                <w:sz w:val="24"/>
                <w:szCs w:val="24"/>
              </w:rPr>
              <w:t>分值</w:t>
            </w:r>
          </w:p>
        </w:tc>
        <w:tc>
          <w:tcPr>
            <w:tcW w:w="390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
                <w:bCs/>
                <w:color w:val="000000"/>
                <w:kern w:val="0"/>
                <w:sz w:val="24"/>
                <w:szCs w:val="24"/>
              </w:rPr>
              <w:t>评分标准</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sz w:val="24"/>
                <w:szCs w:val="24"/>
              </w:rPr>
            </w:pPr>
            <w:r>
              <w:rPr>
                <w:rFonts w:hint="eastAsia" w:ascii="方正仿宋_GBK" w:hAnsi="方正仿宋_GBK" w:eastAsia="方正仿宋_GBK" w:cs="方正仿宋_GBK"/>
                <w:b w:val="0"/>
                <w:bCs w:val="0"/>
                <w:color w:val="000000"/>
                <w:kern w:val="0"/>
                <w:sz w:val="24"/>
                <w:szCs w:val="24"/>
              </w:rPr>
              <w:t>经营状况     (40分）</w:t>
            </w:r>
          </w:p>
        </w:tc>
        <w:tc>
          <w:tcPr>
            <w:tcW w:w="145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sz w:val="24"/>
                <w:szCs w:val="24"/>
              </w:rPr>
            </w:pPr>
            <w:r>
              <w:rPr>
                <w:rFonts w:hint="eastAsia" w:ascii="方正仿宋_GBK" w:hAnsi="方正仿宋_GBK" w:eastAsia="方正仿宋_GBK" w:cs="方正仿宋_GBK"/>
                <w:b w:val="0"/>
                <w:bCs w:val="0"/>
                <w:color w:val="000000"/>
                <w:kern w:val="0"/>
                <w:sz w:val="24"/>
                <w:szCs w:val="24"/>
              </w:rPr>
              <w:t>净资产总额</w:t>
            </w:r>
          </w:p>
        </w:tc>
        <w:tc>
          <w:tcPr>
            <w:tcW w:w="917"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sz w:val="24"/>
                <w:szCs w:val="24"/>
              </w:rPr>
            </w:pPr>
            <w:r>
              <w:rPr>
                <w:rFonts w:hint="eastAsia" w:ascii="方正仿宋_GBK" w:hAnsi="方正仿宋_GBK" w:eastAsia="方正仿宋_GBK" w:cs="方正仿宋_GBK"/>
                <w:b w:val="0"/>
                <w:bCs w:val="0"/>
                <w:color w:val="000000"/>
                <w:kern w:val="0"/>
                <w:sz w:val="24"/>
                <w:szCs w:val="24"/>
              </w:rPr>
              <w:t>8</w:t>
            </w:r>
            <w:r>
              <w:rPr>
                <w:rFonts w:hint="eastAsia" w:ascii="方正仿宋_GBK" w:hAnsi="方正仿宋_GBK" w:eastAsia="方正仿宋_GBK" w:cs="方正仿宋_GBK"/>
                <w:b w:val="0"/>
                <w:bCs w:val="0"/>
                <w:color w:val="000000"/>
                <w:kern w:val="0"/>
                <w:sz w:val="24"/>
                <w:szCs w:val="24"/>
                <w:lang w:val="en-US" w:eastAsia="zh-CN"/>
              </w:rPr>
              <w:t>分</w:t>
            </w:r>
          </w:p>
        </w:tc>
        <w:tc>
          <w:tcPr>
            <w:tcW w:w="390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单项指标得分＝本机构单项指标数值/所有参评银行在本指标中的最大值×该项指标分值</w:t>
            </w:r>
          </w:p>
        </w:tc>
        <w:tc>
          <w:tcPr>
            <w:tcW w:w="221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rPr>
              <w:t>　经营状况类各项指标根据银行全行数据计算得出，银行已上市的，数据一般来源于已披露的最近一年的年度报告；银行未上市的，数据一般来源于最近一年经审计的年度报告。</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000000"/>
                <w:sz w:val="24"/>
                <w:szCs w:val="24"/>
              </w:rPr>
            </w:pPr>
          </w:p>
        </w:tc>
        <w:tc>
          <w:tcPr>
            <w:tcW w:w="145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sz w:val="24"/>
                <w:szCs w:val="24"/>
              </w:rPr>
            </w:pPr>
            <w:r>
              <w:rPr>
                <w:rFonts w:hint="eastAsia" w:ascii="方正仿宋_GBK" w:hAnsi="方正仿宋_GBK" w:eastAsia="方正仿宋_GBK" w:cs="方正仿宋_GBK"/>
                <w:b w:val="0"/>
                <w:bCs w:val="0"/>
                <w:color w:val="000000"/>
                <w:kern w:val="0"/>
                <w:sz w:val="24"/>
                <w:szCs w:val="24"/>
              </w:rPr>
              <w:t>资本充足率</w:t>
            </w:r>
          </w:p>
        </w:tc>
        <w:tc>
          <w:tcPr>
            <w:tcW w:w="917"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sz w:val="24"/>
                <w:szCs w:val="24"/>
              </w:rPr>
            </w:pPr>
            <w:r>
              <w:rPr>
                <w:rFonts w:hint="eastAsia" w:ascii="方正仿宋_GBK" w:hAnsi="方正仿宋_GBK" w:eastAsia="方正仿宋_GBK" w:cs="方正仿宋_GBK"/>
                <w:b w:val="0"/>
                <w:bCs w:val="0"/>
                <w:color w:val="000000"/>
                <w:kern w:val="0"/>
                <w:sz w:val="24"/>
                <w:szCs w:val="24"/>
              </w:rPr>
              <w:t>8</w:t>
            </w:r>
            <w:r>
              <w:rPr>
                <w:rFonts w:hint="eastAsia" w:ascii="方正仿宋_GBK" w:hAnsi="方正仿宋_GBK" w:eastAsia="方正仿宋_GBK" w:cs="方正仿宋_GBK"/>
                <w:b w:val="0"/>
                <w:bCs w:val="0"/>
                <w:color w:val="000000"/>
                <w:kern w:val="0"/>
                <w:sz w:val="24"/>
                <w:szCs w:val="24"/>
                <w:lang w:val="en-US" w:eastAsia="zh-CN"/>
              </w:rPr>
              <w:t>分</w:t>
            </w:r>
          </w:p>
        </w:tc>
        <w:tc>
          <w:tcPr>
            <w:tcW w:w="3905"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rPr>
            </w:pPr>
          </w:p>
        </w:tc>
        <w:tc>
          <w:tcPr>
            <w:tcW w:w="2216" w:type="dxa"/>
            <w:vMerge w:val="continue"/>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000000"/>
                <w:sz w:val="24"/>
                <w:szCs w:val="24"/>
              </w:rPr>
            </w:pPr>
          </w:p>
        </w:tc>
        <w:tc>
          <w:tcPr>
            <w:tcW w:w="145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sz w:val="24"/>
                <w:szCs w:val="24"/>
              </w:rPr>
            </w:pPr>
            <w:r>
              <w:rPr>
                <w:rFonts w:hint="eastAsia" w:ascii="方正仿宋_GBK" w:hAnsi="方正仿宋_GBK" w:eastAsia="方正仿宋_GBK" w:cs="方正仿宋_GBK"/>
                <w:b w:val="0"/>
                <w:bCs w:val="0"/>
                <w:color w:val="000000"/>
                <w:kern w:val="0"/>
                <w:sz w:val="24"/>
                <w:szCs w:val="24"/>
              </w:rPr>
              <w:t>资产利润率</w:t>
            </w:r>
          </w:p>
        </w:tc>
        <w:tc>
          <w:tcPr>
            <w:tcW w:w="917"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FF0000"/>
                <w:sz w:val="24"/>
                <w:szCs w:val="24"/>
              </w:rPr>
            </w:pPr>
            <w:r>
              <w:rPr>
                <w:rFonts w:hint="eastAsia" w:ascii="方正仿宋_GBK" w:hAnsi="方正仿宋_GBK" w:eastAsia="方正仿宋_GBK" w:cs="方正仿宋_GBK"/>
                <w:b w:val="0"/>
                <w:bCs w:val="0"/>
                <w:color w:val="000000"/>
                <w:kern w:val="0"/>
                <w:sz w:val="24"/>
                <w:szCs w:val="24"/>
              </w:rPr>
              <w:t>8</w:t>
            </w:r>
            <w:r>
              <w:rPr>
                <w:rFonts w:hint="eastAsia" w:ascii="方正仿宋_GBK" w:hAnsi="方正仿宋_GBK" w:eastAsia="方正仿宋_GBK" w:cs="方正仿宋_GBK"/>
                <w:b w:val="0"/>
                <w:bCs w:val="0"/>
                <w:color w:val="000000"/>
                <w:kern w:val="0"/>
                <w:sz w:val="24"/>
                <w:szCs w:val="24"/>
                <w:lang w:val="en-US" w:eastAsia="zh-CN"/>
              </w:rPr>
              <w:t>分</w:t>
            </w:r>
          </w:p>
        </w:tc>
        <w:tc>
          <w:tcPr>
            <w:tcW w:w="3905"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rPr>
            </w:pPr>
          </w:p>
        </w:tc>
        <w:tc>
          <w:tcPr>
            <w:tcW w:w="2216" w:type="dxa"/>
            <w:vMerge w:val="continue"/>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000000"/>
                <w:sz w:val="24"/>
                <w:szCs w:val="24"/>
              </w:rPr>
            </w:pPr>
          </w:p>
        </w:tc>
        <w:tc>
          <w:tcPr>
            <w:tcW w:w="145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sz w:val="24"/>
                <w:szCs w:val="24"/>
              </w:rPr>
            </w:pPr>
            <w:r>
              <w:rPr>
                <w:rFonts w:hint="eastAsia" w:ascii="方正仿宋_GBK" w:hAnsi="方正仿宋_GBK" w:eastAsia="方正仿宋_GBK" w:cs="方正仿宋_GBK"/>
                <w:b w:val="0"/>
                <w:bCs w:val="0"/>
                <w:color w:val="000000"/>
                <w:kern w:val="0"/>
                <w:sz w:val="24"/>
                <w:szCs w:val="24"/>
              </w:rPr>
              <w:t>流动性比例</w:t>
            </w:r>
          </w:p>
        </w:tc>
        <w:tc>
          <w:tcPr>
            <w:tcW w:w="917"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000000"/>
                <w:kern w:val="0"/>
                <w:sz w:val="24"/>
                <w:szCs w:val="24"/>
              </w:rPr>
              <w:t>8</w:t>
            </w:r>
            <w:r>
              <w:rPr>
                <w:rFonts w:hint="eastAsia" w:ascii="方正仿宋_GBK" w:hAnsi="方正仿宋_GBK" w:eastAsia="方正仿宋_GBK" w:cs="方正仿宋_GBK"/>
                <w:b w:val="0"/>
                <w:bCs w:val="0"/>
                <w:color w:val="000000"/>
                <w:kern w:val="0"/>
                <w:sz w:val="24"/>
                <w:szCs w:val="24"/>
                <w:lang w:val="en-US" w:eastAsia="zh-CN"/>
              </w:rPr>
              <w:t>分</w:t>
            </w:r>
          </w:p>
        </w:tc>
        <w:tc>
          <w:tcPr>
            <w:tcW w:w="3905"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rPr>
            </w:pPr>
          </w:p>
        </w:tc>
        <w:tc>
          <w:tcPr>
            <w:tcW w:w="221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rPr>
            </w:pPr>
          </w:p>
        </w:tc>
        <w:tc>
          <w:tcPr>
            <w:tcW w:w="145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sz w:val="24"/>
                <w:szCs w:val="24"/>
              </w:rPr>
            </w:pPr>
            <w:r>
              <w:rPr>
                <w:rFonts w:hint="eastAsia" w:ascii="方正仿宋_GBK" w:hAnsi="方正仿宋_GBK" w:eastAsia="方正仿宋_GBK" w:cs="方正仿宋_GBK"/>
                <w:b w:val="0"/>
                <w:bCs w:val="0"/>
                <w:color w:val="000000"/>
                <w:kern w:val="0"/>
                <w:sz w:val="24"/>
                <w:szCs w:val="24"/>
              </w:rPr>
              <w:t>不良贷款率</w:t>
            </w:r>
          </w:p>
        </w:tc>
        <w:tc>
          <w:tcPr>
            <w:tcW w:w="917"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000000"/>
                <w:kern w:val="0"/>
                <w:sz w:val="24"/>
                <w:szCs w:val="24"/>
              </w:rPr>
              <w:t>8</w:t>
            </w:r>
            <w:r>
              <w:rPr>
                <w:rFonts w:hint="eastAsia" w:ascii="方正仿宋_GBK" w:hAnsi="方正仿宋_GBK" w:eastAsia="方正仿宋_GBK" w:cs="方正仿宋_GBK"/>
                <w:b w:val="0"/>
                <w:bCs w:val="0"/>
                <w:color w:val="000000"/>
                <w:kern w:val="0"/>
                <w:sz w:val="24"/>
                <w:szCs w:val="24"/>
                <w:lang w:val="en-US" w:eastAsia="zh-CN"/>
              </w:rPr>
              <w:t>分</w:t>
            </w:r>
          </w:p>
        </w:tc>
        <w:tc>
          <w:tcPr>
            <w:tcW w:w="390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单项指标得分＝所有参评银行在本指标中的最小值/本机构单项指标数值×该项指标分值</w:t>
            </w:r>
            <w:bookmarkStart w:id="0" w:name="_GoBack"/>
            <w:bookmarkEnd w:id="0"/>
          </w:p>
        </w:tc>
        <w:tc>
          <w:tcPr>
            <w:tcW w:w="221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sz w:val="24"/>
                <w:szCs w:val="24"/>
              </w:rPr>
            </w:pPr>
            <w:r>
              <w:rPr>
                <w:rFonts w:hint="eastAsia" w:ascii="方正仿宋_GBK" w:hAnsi="方正仿宋_GBK" w:eastAsia="方正仿宋_GBK" w:cs="方正仿宋_GBK"/>
                <w:b w:val="0"/>
                <w:bCs w:val="0"/>
                <w:color w:val="000000"/>
                <w:kern w:val="0"/>
                <w:sz w:val="24"/>
                <w:szCs w:val="24"/>
              </w:rPr>
              <w:t>服务水平（60分）</w:t>
            </w:r>
          </w:p>
        </w:tc>
        <w:tc>
          <w:tcPr>
            <w:tcW w:w="145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sz w:val="24"/>
                <w:szCs w:val="24"/>
              </w:rPr>
            </w:pPr>
            <w:r>
              <w:rPr>
                <w:rFonts w:hint="eastAsia" w:ascii="方正仿宋_GBK" w:hAnsi="方正仿宋_GBK" w:eastAsia="方正仿宋_GBK" w:cs="方正仿宋_GBK"/>
                <w:b w:val="0"/>
                <w:bCs w:val="0"/>
                <w:color w:val="000000"/>
                <w:kern w:val="0"/>
                <w:sz w:val="24"/>
                <w:szCs w:val="24"/>
              </w:rPr>
              <w:t>投入资源情况</w:t>
            </w:r>
          </w:p>
        </w:tc>
        <w:tc>
          <w:tcPr>
            <w:tcW w:w="917"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000000"/>
                <w:kern w:val="0"/>
                <w:sz w:val="24"/>
                <w:szCs w:val="24"/>
              </w:rPr>
              <w:t>35</w:t>
            </w:r>
            <w:r>
              <w:rPr>
                <w:rFonts w:hint="eastAsia" w:ascii="方正仿宋_GBK" w:hAnsi="方正仿宋_GBK" w:eastAsia="方正仿宋_GBK" w:cs="方正仿宋_GBK"/>
                <w:b w:val="0"/>
                <w:bCs w:val="0"/>
                <w:color w:val="000000"/>
                <w:kern w:val="0"/>
                <w:sz w:val="24"/>
                <w:szCs w:val="24"/>
                <w:lang w:val="en-US" w:eastAsia="zh-CN"/>
              </w:rPr>
              <w:t>分</w:t>
            </w:r>
          </w:p>
        </w:tc>
        <w:tc>
          <w:tcPr>
            <w:tcW w:w="390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000000"/>
                <w:sz w:val="24"/>
                <w:szCs w:val="24"/>
              </w:rPr>
            </w:pPr>
            <w:r>
              <w:rPr>
                <w:rFonts w:hint="eastAsia" w:ascii="方正仿宋_GBK" w:hAnsi="方正仿宋_GBK" w:eastAsia="方正仿宋_GBK" w:cs="方正仿宋_GBK"/>
                <w:b w:val="0"/>
                <w:bCs w:val="0"/>
                <w:color w:val="000000"/>
                <w:kern w:val="0"/>
                <w:sz w:val="24"/>
                <w:szCs w:val="24"/>
              </w:rPr>
              <w:t>单项指标得分＝本机构投入资金金额/所有参评银行投入资金金额的最大值×该项指标分值</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000000"/>
                <w:sz w:val="24"/>
                <w:szCs w:val="24"/>
              </w:rPr>
            </w:pPr>
          </w:p>
        </w:tc>
        <w:tc>
          <w:tcPr>
            <w:tcW w:w="145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sz w:val="24"/>
                <w:szCs w:val="24"/>
              </w:rPr>
            </w:pPr>
            <w:r>
              <w:rPr>
                <w:rFonts w:hint="eastAsia" w:ascii="方正仿宋_GBK" w:hAnsi="方正仿宋_GBK" w:eastAsia="方正仿宋_GBK" w:cs="方正仿宋_GBK"/>
                <w:b w:val="0"/>
                <w:bCs w:val="0"/>
                <w:color w:val="000000"/>
                <w:kern w:val="0"/>
                <w:sz w:val="24"/>
                <w:szCs w:val="24"/>
              </w:rPr>
              <w:t>银医合作项目业绩</w:t>
            </w:r>
          </w:p>
        </w:tc>
        <w:tc>
          <w:tcPr>
            <w:tcW w:w="917"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000000"/>
                <w:kern w:val="0"/>
                <w:sz w:val="24"/>
                <w:szCs w:val="24"/>
              </w:rPr>
              <w:t>5</w:t>
            </w:r>
            <w:r>
              <w:rPr>
                <w:rFonts w:hint="eastAsia" w:ascii="方正仿宋_GBK" w:hAnsi="方正仿宋_GBK" w:eastAsia="方正仿宋_GBK" w:cs="方正仿宋_GBK"/>
                <w:b w:val="0"/>
                <w:bCs w:val="0"/>
                <w:color w:val="000000"/>
                <w:kern w:val="0"/>
                <w:sz w:val="24"/>
                <w:szCs w:val="24"/>
                <w:lang w:val="en-US" w:eastAsia="zh-CN"/>
              </w:rPr>
              <w:t>分</w:t>
            </w:r>
          </w:p>
        </w:tc>
        <w:tc>
          <w:tcPr>
            <w:tcW w:w="390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000000"/>
                <w:sz w:val="24"/>
                <w:szCs w:val="24"/>
              </w:rPr>
            </w:pPr>
            <w:r>
              <w:rPr>
                <w:rFonts w:hint="eastAsia" w:ascii="方正仿宋_GBK" w:hAnsi="方正仿宋_GBK" w:eastAsia="方正仿宋_GBK" w:cs="方正仿宋_GBK"/>
                <w:b w:val="0"/>
                <w:bCs w:val="0"/>
                <w:color w:val="000000"/>
                <w:kern w:val="0"/>
                <w:sz w:val="24"/>
                <w:szCs w:val="24"/>
              </w:rPr>
              <w:t>五年内（2018年9月1日至今），本结算银行重庆分行在重庆市开展银医合作的三级及以上医院数量</w:t>
            </w:r>
            <w:r>
              <w:rPr>
                <w:rFonts w:hint="eastAsia" w:ascii="方正仿宋_GBK" w:hAnsi="方正仿宋_GBK" w:eastAsia="方正仿宋_GBK" w:cs="方正仿宋_GBK"/>
                <w:b w:val="0"/>
                <w:bCs w:val="0"/>
                <w:color w:val="000000"/>
                <w:kern w:val="0"/>
                <w:sz w:val="24"/>
                <w:szCs w:val="24"/>
                <w:lang w:eastAsia="zh-CN"/>
              </w:rPr>
              <w:t>。</w:t>
            </w:r>
            <w:r>
              <w:rPr>
                <w:rFonts w:hint="eastAsia" w:ascii="方正仿宋_GBK" w:hAnsi="方正仿宋_GBK" w:eastAsia="方正仿宋_GBK" w:cs="方正仿宋_GBK"/>
                <w:b w:val="0"/>
                <w:bCs w:val="0"/>
                <w:color w:val="000000"/>
                <w:kern w:val="0"/>
                <w:sz w:val="24"/>
                <w:szCs w:val="24"/>
              </w:rPr>
              <w:t>开展银医合作医院数量为0个，得0分</w:t>
            </w:r>
            <w:r>
              <w:rPr>
                <w:rFonts w:hint="eastAsia" w:ascii="方正仿宋_GBK" w:hAnsi="方正仿宋_GBK" w:eastAsia="方正仿宋_GBK" w:cs="方正仿宋_GBK"/>
                <w:b w:val="0"/>
                <w:bCs w:val="0"/>
                <w:color w:val="000000"/>
                <w:kern w:val="0"/>
                <w:sz w:val="24"/>
                <w:szCs w:val="24"/>
                <w:lang w:eastAsia="zh-CN"/>
              </w:rPr>
              <w:t>；</w:t>
            </w:r>
            <w:r>
              <w:rPr>
                <w:rFonts w:hint="eastAsia" w:ascii="方正仿宋_GBK" w:hAnsi="方正仿宋_GBK" w:eastAsia="方正仿宋_GBK" w:cs="方正仿宋_GBK"/>
                <w:b w:val="0"/>
                <w:bCs w:val="0"/>
                <w:color w:val="000000"/>
                <w:kern w:val="0"/>
                <w:sz w:val="24"/>
                <w:szCs w:val="24"/>
              </w:rPr>
              <w:t>1-3个得1分</w:t>
            </w:r>
            <w:r>
              <w:rPr>
                <w:rFonts w:hint="eastAsia" w:ascii="方正仿宋_GBK" w:hAnsi="方正仿宋_GBK" w:eastAsia="方正仿宋_GBK" w:cs="方正仿宋_GBK"/>
                <w:b w:val="0"/>
                <w:bCs w:val="0"/>
                <w:color w:val="000000"/>
                <w:kern w:val="0"/>
                <w:sz w:val="24"/>
                <w:szCs w:val="24"/>
                <w:lang w:eastAsia="zh-CN"/>
              </w:rPr>
              <w:t>；</w:t>
            </w:r>
            <w:r>
              <w:rPr>
                <w:rFonts w:hint="eastAsia" w:ascii="方正仿宋_GBK" w:hAnsi="方正仿宋_GBK" w:eastAsia="方正仿宋_GBK" w:cs="方正仿宋_GBK"/>
                <w:b w:val="0"/>
                <w:bCs w:val="0"/>
                <w:color w:val="000000"/>
                <w:kern w:val="0"/>
                <w:sz w:val="24"/>
                <w:szCs w:val="24"/>
              </w:rPr>
              <w:t>4-6个得2分</w:t>
            </w:r>
            <w:r>
              <w:rPr>
                <w:rFonts w:hint="eastAsia" w:ascii="方正仿宋_GBK" w:hAnsi="方正仿宋_GBK" w:eastAsia="方正仿宋_GBK" w:cs="方正仿宋_GBK"/>
                <w:b w:val="0"/>
                <w:bCs w:val="0"/>
                <w:color w:val="000000"/>
                <w:kern w:val="0"/>
                <w:sz w:val="24"/>
                <w:szCs w:val="24"/>
                <w:lang w:eastAsia="zh-CN"/>
              </w:rPr>
              <w:t>；</w:t>
            </w:r>
            <w:r>
              <w:rPr>
                <w:rFonts w:hint="eastAsia" w:ascii="方正仿宋_GBK" w:hAnsi="方正仿宋_GBK" w:eastAsia="方正仿宋_GBK" w:cs="方正仿宋_GBK"/>
                <w:b w:val="0"/>
                <w:bCs w:val="0"/>
                <w:color w:val="000000"/>
                <w:kern w:val="0"/>
                <w:sz w:val="24"/>
                <w:szCs w:val="24"/>
              </w:rPr>
              <w:t>7-9个得3分</w:t>
            </w:r>
            <w:r>
              <w:rPr>
                <w:rFonts w:hint="eastAsia" w:ascii="方正仿宋_GBK" w:hAnsi="方正仿宋_GBK" w:eastAsia="方正仿宋_GBK" w:cs="方正仿宋_GBK"/>
                <w:b w:val="0"/>
                <w:bCs w:val="0"/>
                <w:color w:val="000000"/>
                <w:kern w:val="0"/>
                <w:sz w:val="24"/>
                <w:szCs w:val="24"/>
                <w:lang w:eastAsia="zh-CN"/>
              </w:rPr>
              <w:t>；</w:t>
            </w:r>
            <w:r>
              <w:rPr>
                <w:rFonts w:hint="eastAsia" w:ascii="方正仿宋_GBK" w:hAnsi="方正仿宋_GBK" w:eastAsia="方正仿宋_GBK" w:cs="方正仿宋_GBK"/>
                <w:b w:val="0"/>
                <w:bCs w:val="0"/>
                <w:color w:val="000000"/>
                <w:kern w:val="0"/>
                <w:sz w:val="24"/>
                <w:szCs w:val="24"/>
              </w:rPr>
              <w:t>10-12个得4分</w:t>
            </w:r>
            <w:r>
              <w:rPr>
                <w:rFonts w:hint="eastAsia" w:ascii="方正仿宋_GBK" w:hAnsi="方正仿宋_GBK" w:eastAsia="方正仿宋_GBK" w:cs="方正仿宋_GBK"/>
                <w:b w:val="0"/>
                <w:bCs w:val="0"/>
                <w:color w:val="000000"/>
                <w:kern w:val="0"/>
                <w:sz w:val="24"/>
                <w:szCs w:val="24"/>
                <w:lang w:eastAsia="zh-CN"/>
              </w:rPr>
              <w:t>；</w:t>
            </w:r>
            <w:r>
              <w:rPr>
                <w:rFonts w:hint="eastAsia" w:ascii="方正仿宋_GBK" w:hAnsi="方正仿宋_GBK" w:eastAsia="方正仿宋_GBK" w:cs="方正仿宋_GBK"/>
                <w:b w:val="0"/>
                <w:bCs w:val="0"/>
                <w:color w:val="000000"/>
                <w:kern w:val="0"/>
                <w:sz w:val="24"/>
                <w:szCs w:val="24"/>
              </w:rPr>
              <w:t>13个及以上得5分。</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提供合同复印件或合作用户名单、联系人及联系电话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000000"/>
                <w:sz w:val="24"/>
                <w:szCs w:val="24"/>
              </w:rPr>
            </w:pPr>
          </w:p>
        </w:tc>
        <w:tc>
          <w:tcPr>
            <w:tcW w:w="145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sz w:val="24"/>
                <w:szCs w:val="24"/>
              </w:rPr>
            </w:pPr>
            <w:r>
              <w:rPr>
                <w:rFonts w:hint="eastAsia" w:ascii="方正仿宋_GBK" w:hAnsi="方正仿宋_GBK" w:eastAsia="方正仿宋_GBK" w:cs="方正仿宋_GBK"/>
                <w:b w:val="0"/>
                <w:bCs w:val="0"/>
                <w:color w:val="000000"/>
                <w:kern w:val="0"/>
                <w:sz w:val="24"/>
                <w:szCs w:val="24"/>
              </w:rPr>
              <w:t>合作期满后，投入资源的产权归属</w:t>
            </w:r>
          </w:p>
        </w:tc>
        <w:tc>
          <w:tcPr>
            <w:tcW w:w="917"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kern w:val="0"/>
                <w:sz w:val="24"/>
                <w:szCs w:val="24"/>
              </w:rPr>
              <w:t>5</w:t>
            </w:r>
            <w:r>
              <w:rPr>
                <w:rFonts w:hint="eastAsia" w:ascii="方正仿宋_GBK" w:hAnsi="方正仿宋_GBK" w:eastAsia="方正仿宋_GBK" w:cs="方正仿宋_GBK"/>
                <w:b w:val="0"/>
                <w:bCs w:val="0"/>
                <w:color w:val="000000"/>
                <w:kern w:val="0"/>
                <w:sz w:val="24"/>
                <w:szCs w:val="24"/>
                <w:lang w:val="en-US" w:eastAsia="zh-CN"/>
              </w:rPr>
              <w:t>分</w:t>
            </w:r>
          </w:p>
        </w:tc>
        <w:tc>
          <w:tcPr>
            <w:tcW w:w="390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000000"/>
                <w:sz w:val="24"/>
                <w:szCs w:val="24"/>
              </w:rPr>
            </w:pPr>
            <w:r>
              <w:rPr>
                <w:rFonts w:hint="eastAsia" w:ascii="方正仿宋_GBK" w:hAnsi="方正仿宋_GBK" w:eastAsia="方正仿宋_GBK" w:cs="方正仿宋_GBK"/>
                <w:b w:val="0"/>
                <w:bCs w:val="0"/>
                <w:color w:val="000000"/>
                <w:kern w:val="0"/>
                <w:sz w:val="24"/>
                <w:szCs w:val="24"/>
              </w:rPr>
              <w:t>合作期满，投入的软件资源使用权归医院得2分，投入的硬件资源产权归医院得3分投入软硬件资源全部归属医院得5分。</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trPr>
        <w:tc>
          <w:tcPr>
            <w:tcW w:w="845"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000000"/>
                <w:sz w:val="24"/>
                <w:szCs w:val="24"/>
              </w:rPr>
            </w:pPr>
          </w:p>
        </w:tc>
        <w:tc>
          <w:tcPr>
            <w:tcW w:w="145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sz w:val="24"/>
                <w:szCs w:val="24"/>
              </w:rPr>
            </w:pPr>
            <w:r>
              <w:rPr>
                <w:rFonts w:hint="eastAsia" w:ascii="方正仿宋_GBK" w:hAnsi="方正仿宋_GBK" w:eastAsia="方正仿宋_GBK" w:cs="方正仿宋_GBK"/>
                <w:b w:val="0"/>
                <w:bCs w:val="0"/>
                <w:color w:val="000000"/>
                <w:kern w:val="0"/>
                <w:sz w:val="24"/>
                <w:szCs w:val="24"/>
              </w:rPr>
              <w:t>增值服务方案</w:t>
            </w:r>
          </w:p>
        </w:tc>
        <w:tc>
          <w:tcPr>
            <w:tcW w:w="917"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FF0000"/>
                <w:sz w:val="24"/>
                <w:szCs w:val="24"/>
                <w:lang w:val="en-US" w:eastAsia="zh-CN"/>
              </w:rPr>
            </w:pPr>
            <w:r>
              <w:rPr>
                <w:rFonts w:hint="eastAsia" w:ascii="方正仿宋_GBK" w:hAnsi="方正仿宋_GBK" w:eastAsia="方正仿宋_GBK" w:cs="方正仿宋_GBK"/>
                <w:b w:val="0"/>
                <w:bCs w:val="0"/>
                <w:color w:val="000000"/>
                <w:kern w:val="0"/>
                <w:sz w:val="24"/>
                <w:szCs w:val="24"/>
              </w:rPr>
              <w:t>5</w:t>
            </w:r>
            <w:r>
              <w:rPr>
                <w:rFonts w:hint="eastAsia" w:ascii="方正仿宋_GBK" w:hAnsi="方正仿宋_GBK" w:eastAsia="方正仿宋_GBK" w:cs="方正仿宋_GBK"/>
                <w:b w:val="0"/>
                <w:bCs w:val="0"/>
                <w:color w:val="000000"/>
                <w:kern w:val="0"/>
                <w:sz w:val="24"/>
                <w:szCs w:val="24"/>
                <w:lang w:val="en-US" w:eastAsia="zh-CN"/>
              </w:rPr>
              <w:t>分</w:t>
            </w:r>
          </w:p>
        </w:tc>
        <w:tc>
          <w:tcPr>
            <w:tcW w:w="390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000000"/>
                <w:sz w:val="24"/>
                <w:szCs w:val="24"/>
              </w:rPr>
            </w:pPr>
            <w:r>
              <w:rPr>
                <w:rFonts w:hint="eastAsia" w:ascii="方正仿宋_GBK" w:hAnsi="方正仿宋_GBK" w:eastAsia="方正仿宋_GBK" w:cs="方正仿宋_GBK"/>
                <w:b w:val="0"/>
                <w:bCs w:val="0"/>
                <w:color w:val="000000"/>
                <w:sz w:val="24"/>
                <w:szCs w:val="24"/>
              </w:rPr>
              <w:t>提供多种形式的金融支持措施（包括短期流动资金支持）得1分；投入资源的使用不受限制得1分</w:t>
            </w:r>
            <w:r>
              <w:rPr>
                <w:rFonts w:hint="eastAsia" w:ascii="方正仿宋_GBK" w:hAnsi="方正仿宋_GBK" w:eastAsia="方正仿宋_GBK" w:cs="方正仿宋_GBK"/>
                <w:b w:val="0"/>
                <w:bCs w:val="0"/>
                <w:color w:val="000000"/>
                <w:sz w:val="24"/>
                <w:szCs w:val="24"/>
                <w:lang w:eastAsia="zh-CN"/>
              </w:rPr>
              <w:t>；</w:t>
            </w:r>
            <w:r>
              <w:rPr>
                <w:rFonts w:hint="eastAsia" w:ascii="方正仿宋_GBK" w:hAnsi="方正仿宋_GBK" w:eastAsia="方正仿宋_GBK" w:cs="方正仿宋_GBK"/>
                <w:b w:val="0"/>
                <w:bCs w:val="0"/>
                <w:color w:val="000000"/>
                <w:sz w:val="24"/>
                <w:szCs w:val="24"/>
              </w:rPr>
              <w:t>账户活期存款利率采用总行最高水平得1分</w:t>
            </w:r>
            <w:r>
              <w:rPr>
                <w:rFonts w:hint="eastAsia" w:ascii="方正仿宋_GBK" w:hAnsi="方正仿宋_GBK" w:eastAsia="方正仿宋_GBK" w:cs="方正仿宋_GBK"/>
                <w:b w:val="0"/>
                <w:bCs w:val="0"/>
                <w:color w:val="000000"/>
                <w:sz w:val="24"/>
                <w:szCs w:val="24"/>
                <w:lang w:eastAsia="zh-CN"/>
              </w:rPr>
              <w:t>；</w:t>
            </w:r>
            <w:r>
              <w:rPr>
                <w:rFonts w:hint="eastAsia" w:ascii="方正仿宋_GBK" w:hAnsi="方正仿宋_GBK" w:eastAsia="方正仿宋_GBK" w:cs="方正仿宋_GBK"/>
                <w:b w:val="0"/>
                <w:bCs w:val="0"/>
                <w:color w:val="000000"/>
                <w:sz w:val="24"/>
                <w:szCs w:val="24"/>
              </w:rPr>
              <w:t>为代发员工提供个人贷款等多种金融服务得1分</w:t>
            </w:r>
            <w:r>
              <w:rPr>
                <w:rFonts w:hint="eastAsia" w:ascii="方正仿宋_GBK" w:hAnsi="方正仿宋_GBK" w:eastAsia="方正仿宋_GBK" w:cs="方正仿宋_GBK"/>
                <w:b w:val="0"/>
                <w:bCs w:val="0"/>
                <w:color w:val="000000"/>
                <w:sz w:val="24"/>
                <w:szCs w:val="24"/>
                <w:lang w:eastAsia="zh-CN"/>
              </w:rPr>
              <w:t>；</w:t>
            </w:r>
            <w:r>
              <w:rPr>
                <w:rFonts w:hint="eastAsia" w:ascii="方正仿宋_GBK" w:hAnsi="方正仿宋_GBK" w:eastAsia="方正仿宋_GBK" w:cs="方正仿宋_GBK"/>
                <w:b w:val="0"/>
                <w:bCs w:val="0"/>
                <w:color w:val="000000"/>
                <w:sz w:val="24"/>
                <w:szCs w:val="24"/>
              </w:rPr>
              <w:t>每年提供不少于1次员工金融知识培训得1分</w:t>
            </w:r>
            <w:r>
              <w:rPr>
                <w:rFonts w:hint="eastAsia" w:ascii="方正仿宋_GBK" w:hAnsi="方正仿宋_GBK" w:eastAsia="方正仿宋_GBK" w:cs="方正仿宋_GBK"/>
                <w:b w:val="0"/>
                <w:bCs w:val="0"/>
                <w:color w:val="000000"/>
                <w:sz w:val="24"/>
                <w:szCs w:val="24"/>
                <w:lang w:eastAsia="zh-CN"/>
              </w:rPr>
              <w:t>；</w:t>
            </w:r>
            <w:r>
              <w:rPr>
                <w:rFonts w:hint="eastAsia" w:ascii="方正仿宋_GBK" w:hAnsi="方正仿宋_GBK" w:eastAsia="方正仿宋_GBK" w:cs="方正仿宋_GBK"/>
                <w:b w:val="0"/>
                <w:bCs w:val="0"/>
                <w:color w:val="000000"/>
                <w:sz w:val="24"/>
                <w:szCs w:val="24"/>
              </w:rPr>
              <w:t>若提供的增值服务院方不认可，则得0分。</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000000"/>
                <w:sz w:val="24"/>
                <w:szCs w:val="24"/>
              </w:rPr>
            </w:pPr>
            <w:r>
              <w:rPr>
                <w:rFonts w:hint="eastAsia" w:ascii="方正仿宋_GBK" w:hAnsi="方正仿宋_GBK" w:eastAsia="方正仿宋_GBK" w:cs="方正仿宋_GBK"/>
                <w:b w:val="0"/>
                <w:bCs w:val="0"/>
                <w:color w:val="000000"/>
                <w:kern w:val="0"/>
                <w:sz w:val="24"/>
                <w:szCs w:val="24"/>
              </w:rPr>
              <w:t>提供适合院方实际需求的增值服务方案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trPr>
        <w:tc>
          <w:tcPr>
            <w:tcW w:w="845"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000000"/>
                <w:sz w:val="24"/>
                <w:szCs w:val="24"/>
              </w:rPr>
            </w:pPr>
          </w:p>
        </w:tc>
        <w:tc>
          <w:tcPr>
            <w:tcW w:w="145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sz w:val="24"/>
                <w:szCs w:val="24"/>
              </w:rPr>
            </w:pPr>
            <w:r>
              <w:rPr>
                <w:rFonts w:hint="eastAsia" w:ascii="方正仿宋_GBK" w:hAnsi="方正仿宋_GBK" w:eastAsia="方正仿宋_GBK" w:cs="方正仿宋_GBK"/>
                <w:b w:val="0"/>
                <w:bCs w:val="0"/>
                <w:color w:val="000000"/>
                <w:kern w:val="0"/>
                <w:sz w:val="24"/>
                <w:szCs w:val="24"/>
              </w:rPr>
              <w:t>账户费用情况</w:t>
            </w:r>
          </w:p>
        </w:tc>
        <w:tc>
          <w:tcPr>
            <w:tcW w:w="917"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FF0000"/>
                <w:sz w:val="24"/>
                <w:szCs w:val="24"/>
                <w:lang w:val="en-US" w:eastAsia="zh-CN"/>
              </w:rPr>
            </w:pPr>
            <w:r>
              <w:rPr>
                <w:rFonts w:hint="eastAsia" w:ascii="方正仿宋_GBK" w:hAnsi="方正仿宋_GBK" w:eastAsia="方正仿宋_GBK" w:cs="方正仿宋_GBK"/>
                <w:b w:val="0"/>
                <w:bCs w:val="0"/>
                <w:color w:val="000000"/>
                <w:kern w:val="0"/>
                <w:sz w:val="24"/>
                <w:szCs w:val="24"/>
              </w:rPr>
              <w:t>5</w:t>
            </w:r>
            <w:r>
              <w:rPr>
                <w:rFonts w:hint="eastAsia" w:ascii="方正仿宋_GBK" w:hAnsi="方正仿宋_GBK" w:eastAsia="方正仿宋_GBK" w:cs="方正仿宋_GBK"/>
                <w:b w:val="0"/>
                <w:bCs w:val="0"/>
                <w:color w:val="000000"/>
                <w:kern w:val="0"/>
                <w:sz w:val="24"/>
                <w:szCs w:val="24"/>
                <w:lang w:val="en-US" w:eastAsia="zh-CN"/>
              </w:rPr>
              <w:t>分</w:t>
            </w:r>
          </w:p>
        </w:tc>
        <w:tc>
          <w:tcPr>
            <w:tcW w:w="390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000000"/>
                <w:sz w:val="24"/>
                <w:szCs w:val="24"/>
              </w:rPr>
            </w:pPr>
            <w:r>
              <w:rPr>
                <w:rFonts w:hint="eastAsia" w:ascii="方正仿宋_GBK" w:hAnsi="方正仿宋_GBK" w:eastAsia="方正仿宋_GBK" w:cs="方正仿宋_GBK"/>
                <w:b w:val="0"/>
                <w:bCs w:val="0"/>
                <w:color w:val="000000"/>
                <w:kern w:val="0"/>
                <w:sz w:val="24"/>
                <w:szCs w:val="24"/>
              </w:rPr>
              <w:t>参考各银行提出需要收费的项目及收费标准，按综合收费水平高低排序，费用全免得5分，减免部分费用但综合收费水平最低者得3分，每排名靠后一个名次则依次递减1分，0分为最低分。</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000000"/>
                <w:sz w:val="24"/>
                <w:szCs w:val="24"/>
                <w:lang w:eastAsia="zh-CN"/>
              </w:rPr>
            </w:pPr>
            <w:r>
              <w:rPr>
                <w:rFonts w:hint="eastAsia" w:ascii="方正仿宋_GBK" w:hAnsi="方正仿宋_GBK" w:eastAsia="方正仿宋_GBK" w:cs="方正仿宋_GBK"/>
                <w:b w:val="0"/>
                <w:bCs w:val="0"/>
                <w:color w:val="000000"/>
                <w:kern w:val="0"/>
                <w:sz w:val="24"/>
                <w:szCs w:val="24"/>
              </w:rPr>
              <w:t>参考年费、手续费、账户管理等收费项目及减免政策，是否永久性免收或阶段性免收等优惠政策。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845"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000000"/>
                <w:sz w:val="24"/>
                <w:szCs w:val="24"/>
              </w:rPr>
            </w:pPr>
          </w:p>
        </w:tc>
        <w:tc>
          <w:tcPr>
            <w:tcW w:w="145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sz w:val="24"/>
                <w:szCs w:val="24"/>
              </w:rPr>
            </w:pPr>
            <w:r>
              <w:rPr>
                <w:rFonts w:hint="eastAsia" w:ascii="方正仿宋_GBK" w:hAnsi="方正仿宋_GBK" w:eastAsia="方正仿宋_GBK" w:cs="方正仿宋_GBK"/>
                <w:b w:val="0"/>
                <w:bCs w:val="0"/>
                <w:color w:val="000000"/>
                <w:kern w:val="0"/>
                <w:sz w:val="24"/>
                <w:szCs w:val="24"/>
              </w:rPr>
              <w:t>服务质量</w:t>
            </w:r>
          </w:p>
        </w:tc>
        <w:tc>
          <w:tcPr>
            <w:tcW w:w="917"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FF0000"/>
                <w:sz w:val="24"/>
                <w:szCs w:val="24"/>
              </w:rPr>
            </w:pPr>
            <w:r>
              <w:rPr>
                <w:rFonts w:hint="eastAsia" w:ascii="方正仿宋_GBK" w:hAnsi="方正仿宋_GBK" w:eastAsia="方正仿宋_GBK" w:cs="方正仿宋_GBK"/>
                <w:b w:val="0"/>
                <w:bCs w:val="0"/>
                <w:color w:val="000000"/>
                <w:kern w:val="0"/>
                <w:sz w:val="24"/>
                <w:szCs w:val="24"/>
              </w:rPr>
              <w:t>5</w:t>
            </w:r>
            <w:r>
              <w:rPr>
                <w:rFonts w:hint="eastAsia" w:ascii="方正仿宋_GBK" w:hAnsi="方正仿宋_GBK" w:eastAsia="方正仿宋_GBK" w:cs="方正仿宋_GBK"/>
                <w:b w:val="0"/>
                <w:bCs w:val="0"/>
                <w:color w:val="000000"/>
                <w:kern w:val="0"/>
                <w:sz w:val="24"/>
                <w:szCs w:val="24"/>
                <w:lang w:val="en-US" w:eastAsia="zh-CN"/>
              </w:rPr>
              <w:t>分</w:t>
            </w:r>
          </w:p>
        </w:tc>
        <w:tc>
          <w:tcPr>
            <w:tcW w:w="390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000000"/>
                <w:sz w:val="24"/>
                <w:szCs w:val="24"/>
              </w:rPr>
            </w:pPr>
            <w:r>
              <w:rPr>
                <w:rFonts w:hint="eastAsia" w:ascii="方正仿宋_GBK" w:hAnsi="方正仿宋_GBK" w:eastAsia="方正仿宋_GBK" w:cs="方正仿宋_GBK"/>
                <w:b w:val="0"/>
                <w:bCs w:val="0"/>
                <w:color w:val="000000"/>
                <w:kern w:val="0"/>
                <w:sz w:val="24"/>
                <w:szCs w:val="24"/>
                <w:lang w:val="en-US" w:eastAsia="zh-CN"/>
              </w:rPr>
              <w:t>具备</w:t>
            </w:r>
            <w:r>
              <w:rPr>
                <w:rFonts w:hint="eastAsia" w:ascii="方正仿宋_GBK" w:hAnsi="方正仿宋_GBK" w:eastAsia="方正仿宋_GBK" w:cs="方正仿宋_GBK"/>
                <w:b w:val="0"/>
                <w:bCs w:val="0"/>
                <w:color w:val="000000"/>
                <w:kern w:val="0"/>
                <w:sz w:val="24"/>
                <w:szCs w:val="24"/>
              </w:rPr>
              <w:t>业务办理接送、柜台VIP通道、上门业务指导、上门服务、专属服务团队</w:t>
            </w:r>
            <w:r>
              <w:rPr>
                <w:rFonts w:hint="eastAsia" w:ascii="方正仿宋_GBK" w:hAnsi="方正仿宋_GBK" w:eastAsia="方正仿宋_GBK" w:cs="方正仿宋_GBK"/>
                <w:b w:val="0"/>
                <w:bCs w:val="0"/>
                <w:color w:val="000000"/>
                <w:kern w:val="0"/>
                <w:sz w:val="24"/>
                <w:szCs w:val="24"/>
                <w:lang w:eastAsia="zh-CN"/>
              </w:rPr>
              <w:t>，</w:t>
            </w:r>
            <w:r>
              <w:rPr>
                <w:rFonts w:hint="eastAsia" w:ascii="方正仿宋_GBK" w:hAnsi="方正仿宋_GBK" w:eastAsia="方正仿宋_GBK" w:cs="方正仿宋_GBK"/>
                <w:b w:val="0"/>
                <w:bCs w:val="0"/>
                <w:color w:val="000000"/>
                <w:kern w:val="0"/>
                <w:sz w:val="24"/>
                <w:szCs w:val="24"/>
              </w:rPr>
              <w:t>五项条件均能达到的得5分，缺少一个条件减1分，依次递减。</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提供服务方案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sz w:val="24"/>
                <w:szCs w:val="24"/>
              </w:rPr>
            </w:pPr>
            <w:r>
              <w:rPr>
                <w:rFonts w:hint="eastAsia" w:ascii="方正仿宋_GBK" w:hAnsi="方正仿宋_GBK" w:eastAsia="方正仿宋_GBK" w:cs="方正仿宋_GBK"/>
                <w:b w:val="0"/>
                <w:bCs w:val="0"/>
                <w:color w:val="000000"/>
                <w:kern w:val="0"/>
                <w:sz w:val="24"/>
                <w:szCs w:val="24"/>
              </w:rPr>
              <w:t>总分</w:t>
            </w:r>
          </w:p>
        </w:tc>
        <w:tc>
          <w:tcPr>
            <w:tcW w:w="145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sz w:val="24"/>
                <w:szCs w:val="24"/>
              </w:rPr>
            </w:pPr>
          </w:p>
        </w:tc>
        <w:tc>
          <w:tcPr>
            <w:tcW w:w="917"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FF0000"/>
                <w:sz w:val="24"/>
                <w:szCs w:val="24"/>
                <w:lang w:val="en-US" w:eastAsia="zh-CN"/>
              </w:rPr>
            </w:pPr>
            <w:r>
              <w:rPr>
                <w:rFonts w:hint="eastAsia" w:ascii="方正仿宋_GBK" w:hAnsi="方正仿宋_GBK" w:eastAsia="方正仿宋_GBK" w:cs="方正仿宋_GBK"/>
                <w:b w:val="0"/>
                <w:bCs w:val="0"/>
                <w:color w:val="000000"/>
                <w:kern w:val="0"/>
                <w:sz w:val="24"/>
                <w:szCs w:val="24"/>
              </w:rPr>
              <w:t>100</w:t>
            </w:r>
            <w:r>
              <w:rPr>
                <w:rFonts w:hint="eastAsia" w:ascii="方正仿宋_GBK" w:hAnsi="方正仿宋_GBK" w:eastAsia="方正仿宋_GBK" w:cs="方正仿宋_GBK"/>
                <w:b w:val="0"/>
                <w:bCs w:val="0"/>
                <w:color w:val="000000"/>
                <w:kern w:val="0"/>
                <w:sz w:val="24"/>
                <w:szCs w:val="24"/>
                <w:lang w:val="en-US" w:eastAsia="zh-CN"/>
              </w:rPr>
              <w:t>分</w:t>
            </w:r>
          </w:p>
        </w:tc>
        <w:tc>
          <w:tcPr>
            <w:tcW w:w="390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000000"/>
                <w:sz w:val="24"/>
                <w:szCs w:val="24"/>
              </w:rPr>
            </w:pPr>
          </w:p>
        </w:tc>
        <w:tc>
          <w:tcPr>
            <w:tcW w:w="2216"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000000"/>
                <w:sz w:val="24"/>
                <w:szCs w:val="24"/>
              </w:rPr>
            </w:pPr>
          </w:p>
        </w:tc>
      </w:tr>
    </w:tbl>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七、响应文件要求：</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7.1供应商应当按照需求公告的要求编制响应文件，对所提出的要求和条件做出实质性响应，同时编制完整的页码、目录；</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7.2响应文件一式两份，其中正、副本各一份。响应文件的正本、副本均应密封，一并送达指定地点。应在封套上注明项目名称、供应商名称、联系人、联系电话。若正本、副本分别进行密封的，还应在封套上注明“正本”、“副本”字样。封套的封口处应加盖供应商公章或由法定代表人授权代表签字。</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八、响应文件递交时限及其它：</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8.1递交时限：请于2023年10月30日下午5:00前将响应文件交至招标办，逾期不再受理；</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9.2递交地点：渝中区健康路1号（重庆市第四人民医院老大楼14楼14-5室）；</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9.3联系人及电话：庞老师 63692226。</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九、谈判时间及结果公示：</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9.1谈判时间及地点：另行通知</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9.2采购人将评审结果报我院有权审批部门审批后，即以电话形式告之成交供应商，并在“重庆市急救医疗中心”网站（www.cq120.com.cn）上发布结果公告；</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9.3采购人无义务向其他供应商解释未成交的原因，响应文件概不退还。</w:t>
      </w:r>
    </w:p>
    <w:p>
      <w:pPr>
        <w:jc w:val="left"/>
        <w:rPr>
          <w:rFonts w:hint="default" w:ascii="仿宋" w:hAnsi="仿宋" w:eastAsia="仿宋" w:cs="仿宋"/>
          <w:b w:val="0"/>
          <w:bCs w:val="0"/>
          <w:kern w:val="0"/>
          <w:sz w:val="24"/>
          <w:szCs w:val="24"/>
          <w:lang w:val="en-US" w:eastAsia="zh-CN"/>
        </w:rPr>
      </w:pPr>
    </w:p>
    <w:p>
      <w:pPr>
        <w:jc w:val="left"/>
        <w:rPr>
          <w:rFonts w:hint="default" w:ascii="仿宋" w:hAnsi="仿宋" w:eastAsia="仿宋" w:cs="仿宋"/>
          <w:b w:val="0"/>
          <w:bCs w:val="0"/>
          <w:kern w:val="0"/>
          <w:sz w:val="24"/>
          <w:szCs w:val="24"/>
          <w:lang w:val="en-US" w:eastAsia="zh-CN"/>
        </w:rPr>
      </w:pPr>
    </w:p>
    <w:p>
      <w:pPr>
        <w:jc w:val="left"/>
        <w:rPr>
          <w:rFonts w:hint="default" w:ascii="仿宋" w:hAnsi="仿宋" w:eastAsia="仿宋" w:cs="仿宋"/>
          <w:b w:val="0"/>
          <w:bCs w:val="0"/>
          <w:kern w:val="0"/>
          <w:sz w:val="24"/>
          <w:szCs w:val="24"/>
          <w:lang w:val="en-US" w:eastAsia="zh-CN"/>
        </w:rPr>
      </w:pPr>
    </w:p>
    <w:p>
      <w:pPr>
        <w:jc w:val="left"/>
        <w:rPr>
          <w:rFonts w:hint="default" w:ascii="仿宋" w:hAnsi="仿宋" w:eastAsia="仿宋" w:cs="仿宋"/>
          <w:b w:val="0"/>
          <w:bCs w:val="0"/>
          <w:kern w:val="0"/>
          <w:sz w:val="24"/>
          <w:szCs w:val="24"/>
          <w:lang w:val="en-US" w:eastAsia="zh-CN"/>
        </w:rPr>
      </w:pPr>
    </w:p>
    <w:p>
      <w:pPr>
        <w:jc w:val="left"/>
        <w:rPr>
          <w:rFonts w:hint="eastAsia" w:ascii="仿宋" w:hAnsi="仿宋" w:eastAsia="仿宋" w:cs="仿宋"/>
          <w:b w:val="0"/>
          <w:bCs w:val="0"/>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以品手写青春体">
    <w:altName w:val="宋体"/>
    <w:panose1 w:val="02000000000000000000"/>
    <w:charset w:val="86"/>
    <w:family w:val="auto"/>
    <w:pitch w:val="default"/>
    <w:sig w:usb0="00000000" w:usb1="00000000" w:usb2="00000012" w:usb3="00000000" w:csb0="00040001" w:csb1="00000000"/>
  </w:font>
  <w:font w:name="汉仪中黑S">
    <w:altName w:val="黑体"/>
    <w:panose1 w:val="00020600040101010101"/>
    <w:charset w:val="86"/>
    <w:family w:val="auto"/>
    <w:pitch w:val="default"/>
    <w:sig w:usb0="00000000" w:usb1="00000000" w:usb2="00000016" w:usb3="00000000" w:csb0="00040000" w:csb1="00000000"/>
  </w:font>
  <w:font w:name="汉仪仿宋S">
    <w:altName w:val="仿宋"/>
    <w:panose1 w:val="00020600040101010101"/>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PMingLiU">
    <w:altName w:val="PMingLiU-ExtB"/>
    <w:panose1 w:val="02020500000000000000"/>
    <w:charset w:val="88"/>
    <w:family w:val="auto"/>
    <w:pitch w:val="default"/>
    <w:sig w:usb0="00000000" w:usb1="00000000" w:usb2="00000016" w:usb3="00000000" w:csb0="00100001" w:csb1="00000000"/>
  </w:font>
  <w:font w:name="_x000B__x000C_">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E0002A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文鼎粗黑">
    <w:altName w:val="微软雅黑"/>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czMjI0OWJkZTcxZTM0MmNiNjMzMjBlYTlhMzUifQ=="/>
  </w:docVars>
  <w:rsids>
    <w:rsidRoot w:val="000C36F2"/>
    <w:rsid w:val="0001508D"/>
    <w:rsid w:val="000A6A8F"/>
    <w:rsid w:val="000C36F2"/>
    <w:rsid w:val="000C7590"/>
    <w:rsid w:val="001921E5"/>
    <w:rsid w:val="002060A8"/>
    <w:rsid w:val="00225749"/>
    <w:rsid w:val="0023239A"/>
    <w:rsid w:val="002421D1"/>
    <w:rsid w:val="0026404A"/>
    <w:rsid w:val="003074F3"/>
    <w:rsid w:val="00335826"/>
    <w:rsid w:val="0039487D"/>
    <w:rsid w:val="003E1E19"/>
    <w:rsid w:val="004063D6"/>
    <w:rsid w:val="004275C8"/>
    <w:rsid w:val="004F7FB2"/>
    <w:rsid w:val="00526E96"/>
    <w:rsid w:val="006238C5"/>
    <w:rsid w:val="0063484A"/>
    <w:rsid w:val="00665CAB"/>
    <w:rsid w:val="00737577"/>
    <w:rsid w:val="007A0BB9"/>
    <w:rsid w:val="007D7DB6"/>
    <w:rsid w:val="008003B4"/>
    <w:rsid w:val="008873EA"/>
    <w:rsid w:val="00891964"/>
    <w:rsid w:val="008B2379"/>
    <w:rsid w:val="00926A90"/>
    <w:rsid w:val="00AE6C92"/>
    <w:rsid w:val="00B2413C"/>
    <w:rsid w:val="00BC258C"/>
    <w:rsid w:val="00C13CF0"/>
    <w:rsid w:val="00C75000"/>
    <w:rsid w:val="00D1035F"/>
    <w:rsid w:val="00E00AE6"/>
    <w:rsid w:val="00E73DC9"/>
    <w:rsid w:val="00E93AA9"/>
    <w:rsid w:val="00F30B28"/>
    <w:rsid w:val="00F55999"/>
    <w:rsid w:val="00F95E92"/>
    <w:rsid w:val="017F69AB"/>
    <w:rsid w:val="01D60139"/>
    <w:rsid w:val="05E36595"/>
    <w:rsid w:val="09696230"/>
    <w:rsid w:val="09895C55"/>
    <w:rsid w:val="0A1D68B3"/>
    <w:rsid w:val="0B5D455C"/>
    <w:rsid w:val="0BE0723B"/>
    <w:rsid w:val="0C6A5FDF"/>
    <w:rsid w:val="18F070A3"/>
    <w:rsid w:val="1C097A9D"/>
    <w:rsid w:val="21CB2C7D"/>
    <w:rsid w:val="22B7135A"/>
    <w:rsid w:val="231045AE"/>
    <w:rsid w:val="26C23BA8"/>
    <w:rsid w:val="2BAD3246"/>
    <w:rsid w:val="2EA96EF9"/>
    <w:rsid w:val="2ECB6FAA"/>
    <w:rsid w:val="2F524F96"/>
    <w:rsid w:val="2F993071"/>
    <w:rsid w:val="2FA36DA4"/>
    <w:rsid w:val="3092720F"/>
    <w:rsid w:val="32382609"/>
    <w:rsid w:val="32A32954"/>
    <w:rsid w:val="36B03FD8"/>
    <w:rsid w:val="38157C37"/>
    <w:rsid w:val="39750222"/>
    <w:rsid w:val="3BE526FF"/>
    <w:rsid w:val="3D85601E"/>
    <w:rsid w:val="3EB409B9"/>
    <w:rsid w:val="3FB83D46"/>
    <w:rsid w:val="3FF31A5A"/>
    <w:rsid w:val="429F3A6B"/>
    <w:rsid w:val="43125D48"/>
    <w:rsid w:val="455C63ED"/>
    <w:rsid w:val="4B5B19C1"/>
    <w:rsid w:val="4C9F0671"/>
    <w:rsid w:val="53EE5E85"/>
    <w:rsid w:val="53F00C58"/>
    <w:rsid w:val="54184695"/>
    <w:rsid w:val="546169F6"/>
    <w:rsid w:val="56652D8A"/>
    <w:rsid w:val="5738243F"/>
    <w:rsid w:val="57C770D9"/>
    <w:rsid w:val="5BDA6CCF"/>
    <w:rsid w:val="5F0E080D"/>
    <w:rsid w:val="5FFF28D8"/>
    <w:rsid w:val="61A772F9"/>
    <w:rsid w:val="6682781E"/>
    <w:rsid w:val="66F917B4"/>
    <w:rsid w:val="69E108C9"/>
    <w:rsid w:val="6BEF12C0"/>
    <w:rsid w:val="6C9526B2"/>
    <w:rsid w:val="72C642B9"/>
    <w:rsid w:val="73210BC0"/>
    <w:rsid w:val="73C07949"/>
    <w:rsid w:val="759B69DB"/>
    <w:rsid w:val="75AD2F1A"/>
    <w:rsid w:val="77E2778E"/>
    <w:rsid w:val="790747E8"/>
    <w:rsid w:val="7B5A4339"/>
    <w:rsid w:val="7BF733CD"/>
    <w:rsid w:val="7FB30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spacing w:beforeAutospacing="1" w:afterAutospacing="1"/>
      <w:jc w:val="left"/>
    </w:pPr>
    <w:rPr>
      <w:rFonts w:cs="Times New Roman"/>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customStyle="1" w:styleId="11">
    <w:name w:val="List Paragraph"/>
    <w:basedOn w:val="1"/>
    <w:qFormat/>
    <w:uiPriority w:val="34"/>
    <w:pPr>
      <w:ind w:firstLine="420" w:firstLineChars="200"/>
    </w:pPr>
  </w:style>
  <w:style w:type="paragraph" w:customStyle="1" w:styleId="12">
    <w:name w:val="_Style 0"/>
    <w:qFormat/>
    <w:uiPriority w:val="1"/>
    <w:rPr>
      <w:rFonts w:ascii="Calibri" w:hAnsi="Calibri" w:eastAsia="宋体" w:cs="Times New Roman"/>
      <w:sz w:val="22"/>
      <w:szCs w:val="22"/>
      <w:lang w:val="en-US" w:eastAsia="zh-CN" w:bidi="ar-SA"/>
    </w:rPr>
  </w:style>
  <w:style w:type="paragraph" w:customStyle="1" w:styleId="13">
    <w:name w:val="图例"/>
    <w:basedOn w:val="1"/>
    <w:qFormat/>
    <w:uiPriority w:val="0"/>
    <w:pPr>
      <w:spacing w:before="120" w:after="120" w:line="360" w:lineRule="auto"/>
      <w:jc w:val="center"/>
    </w:pPr>
    <w:rPr>
      <w:rFonts w:ascii="Times New Roman" w:hAnsi="Times New Roman" w:eastAsia="仿宋_GB2312" w:cs="Times New Roman"/>
      <w:b/>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2722</Words>
  <Characters>3052</Characters>
  <Lines>7</Lines>
  <Paragraphs>2</Paragraphs>
  <ScaleCrop>false</ScaleCrop>
  <LinksUpToDate>false</LinksUpToDate>
  <CharactersWithSpaces>3055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2017-08-28T01:43:00Z</dcterms:created>
  <dc:creator>微软用户</dc:creator>
  <cp:lastModifiedBy>ZBB</cp:lastModifiedBy>
  <cp:lastPrinted>2023-10-20T03:35:00Z</cp:lastPrinted>
  <dcterms:modified xsi:type="dcterms:W3CDTF">2023-10-20T09:35:01Z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745F23FA9E9B414DA4419E50E45B2D85_13</vt:lpwstr>
  </property>
</Properties>
</file>