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检验科常用检测试剂第二批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</w:rPr>
        <w:t>采购文件</w:t>
      </w:r>
    </w:p>
    <w:p>
      <w:pPr>
        <w:jc w:val="center"/>
        <w:rPr>
          <w:rFonts w:hint="default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发布时间：202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15</w:t>
      </w:r>
    </w:p>
    <w:p>
      <w:pPr>
        <w:adjustRightInd w:val="0"/>
        <w:snapToGrid w:val="0"/>
        <w:ind w:firstLine="420" w:firstLineChars="200"/>
        <w:rPr>
          <w:rFonts w:ascii="方正仿宋_GBK" w:hAnsi="方正仿宋_GBK" w:eastAsia="方正仿宋_GBK" w:cs="方正仿宋_GBK"/>
          <w:color w:val="000000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重庆市第四人民医院本着公平、公正、公开、诚信的原则，拟对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以下检验科常用检测试剂的常规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采购进行竞争性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，现诚邀具有合格资质和良好配送能力的供应商参与竞争。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一、产品目录及要求</w:t>
      </w:r>
    </w:p>
    <w:tbl>
      <w:tblPr>
        <w:tblStyle w:val="7"/>
        <w:tblW w:w="8617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1806"/>
        <w:gridCol w:w="3394"/>
        <w:gridCol w:w="1504"/>
        <w:gridCol w:w="14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80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试剂名称</w:t>
            </w:r>
          </w:p>
        </w:tc>
        <w:tc>
          <w:tcPr>
            <w:tcW w:w="3394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    途</w:t>
            </w:r>
          </w:p>
        </w:tc>
        <w:tc>
          <w:tcPr>
            <w:tcW w:w="1504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检测方法学</w:t>
            </w:r>
          </w:p>
        </w:tc>
        <w:tc>
          <w:tcPr>
            <w:tcW w:w="143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配套设备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穿孔素颗粒酶检测试剂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用于肿瘤患者、病毒感染患者、自身免疫疾病、移植患者、手术患者、发热待查、体检人群等的免疫功能评估和预后监测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流式细胞仪器法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流式细胞仪（美国BD，型号：FACScantoll）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细菌药敏实验培养基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K-B法药敏细菌培养基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K-B法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80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细菌药敏实验纸片</w:t>
            </w:r>
          </w:p>
        </w:tc>
        <w:tc>
          <w:tcPr>
            <w:tcW w:w="33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药敏检测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K-B法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80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细菌药敏检测卡及缓冲液</w:t>
            </w:r>
          </w:p>
        </w:tc>
        <w:tc>
          <w:tcPr>
            <w:tcW w:w="33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少见菌、苛养菌药敏检测</w:t>
            </w:r>
            <w:bookmarkStart w:id="0" w:name="_GoBack"/>
            <w:bookmarkEnd w:id="0"/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微量肉汤稀释法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药敏鉴定分析仪（珠海迪尔）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80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十二项细胞因子检测试剂盒</w:t>
            </w:r>
          </w:p>
        </w:tc>
        <w:tc>
          <w:tcPr>
            <w:tcW w:w="33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通过现有流式检测平台评估人体的免疫状态，监测疾病进程与疗效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流式细胞仪器法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6.1</w:t>
            </w:r>
          </w:p>
        </w:tc>
        <w:tc>
          <w:tcPr>
            <w:tcW w:w="180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Lambda游离轻链测定试剂盒</w:t>
            </w:r>
          </w:p>
        </w:tc>
        <w:tc>
          <w:tcPr>
            <w:tcW w:w="3394" w:type="dxa"/>
            <w:vMerge w:val="restart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多发性骨髓瘤的辅助诊断及疗效观察</w:t>
            </w:r>
          </w:p>
        </w:tc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免疫比浊法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6.2</w:t>
            </w:r>
          </w:p>
        </w:tc>
        <w:tc>
          <w:tcPr>
            <w:tcW w:w="180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kappa游离轻链测定试剂盒</w:t>
            </w:r>
          </w:p>
        </w:tc>
        <w:tc>
          <w:tcPr>
            <w:tcW w:w="3394" w:type="dxa"/>
            <w:vMerge w:val="continue"/>
            <w:tcBorders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80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呼吸道六项病毒核酸检测试剂</w:t>
            </w:r>
          </w:p>
        </w:tc>
        <w:tc>
          <w:tcPr>
            <w:tcW w:w="33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q-PCR定性检测呼吸道病毒核酸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荧光定量PCR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80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烟曲霉m3过敏原特异性IgE抗体试剂</w:t>
            </w:r>
          </w:p>
        </w:tc>
        <w:tc>
          <w:tcPr>
            <w:tcW w:w="33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变应性支气管肺曲霉病的辅助诊断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免疫层析法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80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曲霉半乳甘露聚糖IgG抗体试剂</w:t>
            </w:r>
          </w:p>
        </w:tc>
        <w:tc>
          <w:tcPr>
            <w:tcW w:w="33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用于慢性肺曲霉病的辅助诊断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酶联免疫法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全自动酶联免疫分析仪（嘉兴科瑞HB-300E）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80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化学药物基因多态性检测试剂</w:t>
            </w:r>
          </w:p>
        </w:tc>
        <w:tc>
          <w:tcPr>
            <w:tcW w:w="33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检测常见药物的基因位点，辅助诊断患者对药物的敏感性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荧光PCR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80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过氧化物酶染色液（POX）</w:t>
            </w:r>
          </w:p>
        </w:tc>
        <w:tc>
          <w:tcPr>
            <w:tcW w:w="33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骨髓细胞和血液细胞的组织细胞学染色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化学法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80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多项毒品联合检测试剂盒</w:t>
            </w:r>
          </w:p>
        </w:tc>
        <w:tc>
          <w:tcPr>
            <w:tcW w:w="33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定性检测人体尿中吗啡、甲基安非他明和氯胺酮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胶体金法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806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酵母样真菌药敏卡片</w:t>
            </w:r>
          </w:p>
        </w:tc>
        <w:tc>
          <w:tcPr>
            <w:tcW w:w="33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检测酵母样真菌对抗真菌药物的敏感性，指导临床抗真菌感染治疗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比浊法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细胞药敏鉴定仪（生物梅里埃）</w:t>
            </w:r>
          </w:p>
        </w:tc>
      </w:tr>
    </w:tbl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、供应商资质要求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.1基本资格条件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.1.1具有独立承担民事责任的能力；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.1.2具有良好的商业信誉和健全的财务会计制度；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.1.3具有履行合同所必需的设备和专业技术能力；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.1.4有依法缴纳税收和社会保障资金的良好记录；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.1.5参加政府采购活动近三年内，在经营活动中没有重大违法记录。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.2特定资格条件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为所投产品制造商或经销商，若为经销商投标，须具备产品制造商认可的经销资格；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.2.2须具有所投产品有效期内的《中华人民共和国医疗器械注册证》，若注册证有附件的，还须提供附件《医疗器械产品注册登记表》；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.2.3所投产品属三类医疗器械的，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须具备有效期内《医疗器械经营企业许可证》或《医疗器械经营许可证》；所投产品属二类医疗器械的，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须具备有效期内《医疗器械经营企业许可证》或《第二类医疗器械经营备案凭证》；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（供应商）必须是重庆药交所注册会员；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.5.1“三证合一”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或“五证合一”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营业执照（副本）复印件；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.5.2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 xml:space="preserve"> 2022年年度财务报表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缴纳税收和社会保障金的证明材料复印件；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3.5.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5在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Cs w:val="21"/>
        </w:rPr>
        <w:t>.5.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第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.2条特定资格条件所要求的资质文件（复印件加盖鲜章）；《重庆药品交易所入市协议》、《法人单位数字证书申请表》（复印件加盖鲜章）；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7产品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质量及售后服务保证书、产品介绍、彩页资料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以及供应商认为与产品相关的资料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、商务要求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提供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产品在重庆三甲医院用户名单、联系人及联系电话；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供应商在重庆地区具有较强的售后服务能力，至少具有1名及以上售后服务工程师。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、成交供应商要求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.1必须提供效期在半年以上的试剂，提供的试剂在效期内出现任何质量问题，均无条件免费更换；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.2试剂在使用过程中遇到需应用工程师解决的问题，成交供应商应及时派工程协助解决。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供应商应当按照需求公告的要求编制响应文件，对所提出的要求和条件做出实质性响应，同时编制完整的页码、目录；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和电子版报价各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一份（报价需密封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报价格式详见附件1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、响应文件递交时限及联系方式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时限：请于202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日下午5:00前将响应文件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及（纸质、电子版）报价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交至招标办，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逾期不再受理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递交地点：渝中区健康路1号（重庆市第四人民医院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急救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大楼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-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室）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郭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老师 63692226。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</w:rPr>
        <w:t>、谈判时间及结果公示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.1谈判时间及地点：另行通知</w:t>
      </w:r>
    </w:p>
    <w:p>
      <w:pPr>
        <w:pStyle w:val="12"/>
        <w:adjustRightInd w:val="0"/>
        <w:snapToGrid w:val="0"/>
        <w:rPr>
          <w:rFonts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.2采购人将评审结果报我院有权审批部门审批后，即以电话形式告之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pStyle w:val="12"/>
        <w:adjustRightInd w:val="0"/>
        <w:snapToGrid w:val="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.3采购人无义务向其他供应商解释未成交原因，响应文件概不退还。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鼎粗黑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zczMjI0OWJkZTcxZTM0MmNiNjMzMjBlYTlhMzUifQ=="/>
  </w:docVars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C2602"/>
    <w:rsid w:val="00AE6C92"/>
    <w:rsid w:val="00B2413C"/>
    <w:rsid w:val="00BC258C"/>
    <w:rsid w:val="00C13CF0"/>
    <w:rsid w:val="00C75000"/>
    <w:rsid w:val="00E00AE6"/>
    <w:rsid w:val="00E73DC9"/>
    <w:rsid w:val="00E93AA9"/>
    <w:rsid w:val="00F30B28"/>
    <w:rsid w:val="00F55999"/>
    <w:rsid w:val="00F805C2"/>
    <w:rsid w:val="00F95E92"/>
    <w:rsid w:val="011A2A10"/>
    <w:rsid w:val="0A1D68B3"/>
    <w:rsid w:val="0A7F52FD"/>
    <w:rsid w:val="0B0B2B8C"/>
    <w:rsid w:val="101E7372"/>
    <w:rsid w:val="120D6F1B"/>
    <w:rsid w:val="13E54695"/>
    <w:rsid w:val="16115DAA"/>
    <w:rsid w:val="1D29167B"/>
    <w:rsid w:val="1F591F5B"/>
    <w:rsid w:val="294E3997"/>
    <w:rsid w:val="2BAD3246"/>
    <w:rsid w:val="2E420A23"/>
    <w:rsid w:val="336C114F"/>
    <w:rsid w:val="40F96CCB"/>
    <w:rsid w:val="486C49B0"/>
    <w:rsid w:val="486E3659"/>
    <w:rsid w:val="48BB72AD"/>
    <w:rsid w:val="4B6E42A4"/>
    <w:rsid w:val="4F594DAE"/>
    <w:rsid w:val="540F7123"/>
    <w:rsid w:val="544E359B"/>
    <w:rsid w:val="5CBD54AE"/>
    <w:rsid w:val="62237FA1"/>
    <w:rsid w:val="65DB7408"/>
    <w:rsid w:val="6A604E12"/>
    <w:rsid w:val="6ABE6BC3"/>
    <w:rsid w:val="6BE851FD"/>
    <w:rsid w:val="71022B9E"/>
    <w:rsid w:val="714D0081"/>
    <w:rsid w:val="720D425E"/>
    <w:rsid w:val="725F7D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widowControl/>
      <w:pBdr>
        <w:bottom w:val="single" w:color="4F81BD" w:themeColor="accent1" w:sz="8" w:space="1"/>
      </w:pBdr>
      <w:spacing w:before="200" w:after="80"/>
      <w:jc w:val="left"/>
      <w:outlineLvl w:val="1"/>
    </w:pPr>
    <w:rPr>
      <w:rFonts w:asciiTheme="majorHAnsi" w:hAnsiTheme="majorHAnsi" w:eastAsiaTheme="majorEastAsia" w:cstheme="majorBidi"/>
      <w:color w:val="376092" w:themeColor="accent1" w:themeShade="BF"/>
      <w:kern w:val="0"/>
      <w:sz w:val="24"/>
      <w:szCs w:val="24"/>
      <w:lang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3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1722</Words>
  <Characters>1931</Characters>
  <Lines>14</Lines>
  <Paragraphs>4</Paragraphs>
  <ScaleCrop>false</ScaleCrop>
  <LinksUpToDate>false</LinksUpToDate>
  <CharactersWithSpaces>1934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2018-09-11T02:51:00Z</cp:lastPrinted>
  <dcterms:modified xsi:type="dcterms:W3CDTF">2023-08-16T02:28:12Z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FB7E655845F04559850041DC3883D62A</vt:lpwstr>
  </property>
</Properties>
</file>