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血糖试纸常规采购需求文件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12-30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血糖试纸的常规采购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8"/>
        <w:tblW w:w="8323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575"/>
        <w:gridCol w:w="870"/>
        <w:gridCol w:w="3678"/>
        <w:gridCol w:w="17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47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使用科室</w:t>
            </w:r>
          </w:p>
        </w:tc>
        <w:tc>
          <w:tcPr>
            <w:tcW w:w="3678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血糖试纸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全院</w:t>
            </w:r>
          </w:p>
        </w:tc>
        <w:tc>
          <w:tcPr>
            <w:tcW w:w="367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用于体外定量检测人体毛细血管全血中的葡萄糖含量</w:t>
            </w:r>
          </w:p>
        </w:tc>
        <w:tc>
          <w:tcPr>
            <w:tcW w:w="172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免费提供配套血糖仪及质控品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eastAsia="zh-CN"/>
        </w:rPr>
        <w:t>技术要求：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血糖试纸须有医疗器械注册证，符合重庆医药交易平台网上交易相关要求；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★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2.2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准确度：满足（GB/T19634-2005）和ISO 15197∶2013的标准；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2.3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血样要求：末稍全血和静脉全血（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提供证明材料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2.4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测试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对象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：成人和孕妇等（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提供证明材料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2.5质控品不少于2种且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须取得注册证；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2.6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使用不同批次试纸时，无需手动调码；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2.7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抗干扰物能力：对乙酰氨基酚、多巴胺、水杨酸、抗坏血酸、左旋多巴、布洛芬、肌酐、尿酸、血红蛋白、胆红素、甘油三酸脂等均有抗干扰作用的产品；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2.8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红细胞压积≥10-65%，避免红细胞干扰，具备红细胞压积校正技术（提供证明文件）；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2.9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试纸有效期：≥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个月；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10测量范围：≥0.6-33.3mmol/L；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11采血量：≤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微升；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12检测时间：≤5秒；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13配套血糖仪有医疗器械注册证，具备网络数据交互功能；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14配套血糖仪具备患者识别功能；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2.15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配套血糖仪可连接医院网络，具备无线WIFI、蓝牙4.0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等数据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传输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2.16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存储结果：≥检测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数据5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000条数据，质控记录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000条数据；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17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配套血糖管理软件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支持与HIS /EMR/LIS等信息系统信息传输；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18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配套血糖管理软件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支持完整记录每个患者的血糖检测情况，通过图表等形式进行统计和数据展示，让血糖数据分析更立体，以便为临床和科研提供数据支撑；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2.19配套血糖管理软件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支持科室血糖检测管理：可以方便医生对科室内每天的血糖情况整体进行分析；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2.20配套血糖管理软件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支持血糖预警管理，支持对危险值提醒功能，并且能够根据病人的病情，个性化设置预警值，实现低血糖和高血糖独立管理；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2.21配套血糖管理软件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支持自动接收仪器的质控结果，并对记录完整保留，根据质控记录自动绘制质控图，支持质控数据、质控报告的生成和导出；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2.22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eastAsia="zh-CN"/>
        </w:rPr>
        <w:t>根据医院要求，血糖信息化管理系统可兼容多个品牌血糖仪。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备注：证明材料为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说明书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val="en-US" w:eastAsia="zh-CN"/>
        </w:rPr>
        <w:t>或医疗器械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</w:rPr>
        <w:t>注册证</w:t>
      </w:r>
      <w:r>
        <w:rPr>
          <w:rFonts w:hint="eastAsia" w:ascii="方正仿宋_GBK" w:hAnsi="方正仿宋_GBK" w:eastAsia="方正仿宋_GBK" w:cs="方正仿宋_GBK"/>
          <w:bCs/>
          <w:sz w:val="21"/>
          <w:szCs w:val="21"/>
          <w:lang w:val="en-US" w:eastAsia="zh-CN"/>
        </w:rPr>
        <w:t>或第三方检测机构检测报告。</w:t>
      </w:r>
    </w:p>
    <w:tbl>
      <w:tblPr>
        <w:tblStyle w:val="8"/>
        <w:tblpPr w:leftFromText="180" w:rightFromText="180" w:vertAnchor="text" w:horzAnchor="page" w:tblpX="1037" w:tblpY="509"/>
        <w:tblOverlap w:val="never"/>
        <w:tblW w:w="9375" w:type="dxa"/>
        <w:tblInd w:w="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960"/>
        <w:gridCol w:w="1005"/>
        <w:gridCol w:w="5314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6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评分因素及权值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分值</w:t>
            </w:r>
          </w:p>
        </w:tc>
        <w:tc>
          <w:tcPr>
            <w:tcW w:w="5314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评分标准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pacing w:before="0" w:after="0" w:line="24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2"/>
                <w:sz w:val="21"/>
                <w:szCs w:val="21"/>
                <w:lang w:val="en-US" w:eastAsia="zh-CN" w:bidi="ar-S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446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投标报价30%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30分</w:t>
            </w:r>
          </w:p>
        </w:tc>
        <w:tc>
          <w:tcPr>
            <w:tcW w:w="5314" w:type="dxa"/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满足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比选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文件资格要求且最后报价最低的供应商报价为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比选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基准价，按照下列公式计算每个供应商的报价得分。</w:t>
            </w:r>
          </w:p>
          <w:p>
            <w:pPr>
              <w:spacing w:line="240" w:lineRule="atLeast"/>
              <w:ind w:left="-38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报价得分=（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比选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基准价/最后报价）×价格权值×100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报价得分保留小数点后两位，四舍五入。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ind w:left="-38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spacing w:line="441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技术部分50%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50分</w:t>
            </w:r>
          </w:p>
        </w:tc>
        <w:tc>
          <w:tcPr>
            <w:tcW w:w="531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1.起评分：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竞选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人的起评分为50分。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2、扣分条款：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2.1产品技术参数不满足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比选文件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重要技术需求的【本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比选文件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第二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中带（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）号标注的部分】，负偏离一条，技术部分得0分。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2.2产品技术参数不满足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比选文件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一般性技术需求的【本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比选文件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第二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）号标注的部分除外】，每负偏离一条从起评分中扣除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扣完为止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。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46" w:type="dxa"/>
            <w:vMerge w:val="restart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3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商务部分20%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售后服务能力 4分</w:t>
            </w:r>
          </w:p>
        </w:tc>
        <w:tc>
          <w:tcPr>
            <w:tcW w:w="5314" w:type="dxa"/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1.在重庆有固定驻地工程师，能即时提供系统维护服务；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2.拥有专业研发及售后服务团队，确保能满足医院对系统的个性化开发要求；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3.供应商针对本项目配备的服务团队中需具有专业技术人员（厂家售后技术人员、供应商售后服务人员、软件售后技术工程师、使用培训人员）；</w:t>
            </w:r>
          </w:p>
          <w:p>
            <w:pPr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4.协助临床科室开展全院血糖管理及相关技术培训，保证临床医疗需要。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提供相关人员资质和证明材料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46" w:type="dxa"/>
            <w:vMerge w:val="continue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配套血糖管理软件   6分</w:t>
            </w:r>
          </w:p>
        </w:tc>
        <w:tc>
          <w:tcPr>
            <w:tcW w:w="5314" w:type="dxa"/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配套血糖管理软件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西南地区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三级甲等医院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使用清单，每提供1份得1分，此项最多得6分。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ind w:left="-38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 w:bidi="ar"/>
              </w:rPr>
              <w:t>合同或协议书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复印件加盖鲜章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46" w:type="dxa"/>
            <w:vMerge w:val="continue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  <w:t>业绩   10分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所投产品西南地区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三级甲等医院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使用清单及2022年全年使用量，每单位2022年使用量需超过20万片得1分，最多得10分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以提供发票复印件加盖鲜章</w:t>
            </w:r>
          </w:p>
          <w:p>
            <w:pPr>
              <w:spacing w:line="240" w:lineRule="atLeast"/>
              <w:ind w:left="-38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三、评审标准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4.1基本资格条件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4.2特定资格条件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4.6.7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4.6.11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五、供应商须知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六、成交供应商要求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6.3承诺中选产品通过医院SPD系统配送。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一式两份，其中正、副本各一份（注：封面应注明项目名称、供应商名称、联系人及电话，不需密封），报价一份（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八、响应文件递交时限及其它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8.1响应文件及报价电子文档（扫描件）递交时限：请于2023年1月5日下午5:00前发至邮箱：1102621427@qq.com，逾期不再受理；</w:t>
      </w:r>
    </w:p>
    <w:p>
      <w:pPr>
        <w:keepNext w:val="0"/>
        <w:keepLines w:val="0"/>
        <w:pageBreakBefore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8.2纸质响应文件递交时间：具体时间待定；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8.3纸质响应文件递交地点：渝中区健康路1号（重庆市第四人民医院老大楼14-5室）；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8.4联系人及电话：郭老师 023－63692226。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九、谈判时间及结果公示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9.1谈判时间及地点：另行通知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9.2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9.3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TYwMWM2YzExODgzNjhjM2Y0NWYwZjVkOTY4MGI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0DA8674C"/>
    <w:rsid w:val="18F070A3"/>
    <w:rsid w:val="1BA61064"/>
    <w:rsid w:val="1C097A9D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31E7DC1"/>
    <w:rsid w:val="36B03FD8"/>
    <w:rsid w:val="38157C37"/>
    <w:rsid w:val="3BE526FF"/>
    <w:rsid w:val="3CCD1BED"/>
    <w:rsid w:val="3EB409B9"/>
    <w:rsid w:val="3FB83D46"/>
    <w:rsid w:val="4094587E"/>
    <w:rsid w:val="429F3A6B"/>
    <w:rsid w:val="43125D48"/>
    <w:rsid w:val="455C63ED"/>
    <w:rsid w:val="4B5B19C1"/>
    <w:rsid w:val="4C9F0671"/>
    <w:rsid w:val="4F586AEA"/>
    <w:rsid w:val="53F00C58"/>
    <w:rsid w:val="54184695"/>
    <w:rsid w:val="56652D8A"/>
    <w:rsid w:val="5738243F"/>
    <w:rsid w:val="57C770D9"/>
    <w:rsid w:val="58F21423"/>
    <w:rsid w:val="5A267DA2"/>
    <w:rsid w:val="5F0E080D"/>
    <w:rsid w:val="5F460535"/>
    <w:rsid w:val="5FFF28D8"/>
    <w:rsid w:val="6682781E"/>
    <w:rsid w:val="6BEF12C0"/>
    <w:rsid w:val="72C642B9"/>
    <w:rsid w:val="73210BC0"/>
    <w:rsid w:val="75AD2F1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after="120" w:line="240" w:lineRule="auto"/>
    </w:pPr>
    <w:rPr>
      <w:kern w:val="0"/>
      <w:sz w:val="20"/>
    </w:rPr>
  </w:style>
  <w:style w:type="paragraph" w:styleId="4">
    <w:name w:val="Body Text Indent"/>
    <w:basedOn w:val="1"/>
    <w:unhideWhenUsed/>
    <w:uiPriority w:val="99"/>
    <w:pPr>
      <w:ind w:firstLine="630"/>
    </w:pPr>
    <w:rPr>
      <w:sz w:val="32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2022-12-30T06:40:11Z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