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检验科生化免疫组设备配套试剂及耗材常规采购议价需求文件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检验科生化免疫组设备配套试剂及耗材常规采购项目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3"/>
        <w:tblW w:w="9126" w:type="dxa"/>
        <w:jc w:val="center"/>
        <w:tblInd w:w="71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37"/>
        <w:gridCol w:w="3495"/>
        <w:gridCol w:w="1892"/>
        <w:gridCol w:w="1390"/>
        <w:gridCol w:w="17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试剂/耗材名称</w:t>
            </w:r>
          </w:p>
        </w:tc>
        <w:tc>
          <w:tcPr>
            <w:tcW w:w="1390"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1712"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全自动生化分析仪</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（罗氏c701）</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restart"/>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712" w:type="dxa"/>
            <w:vMerge w:val="restart"/>
            <w:tcBorders>
              <w:top w:val="outset" w:color="auto" w:sz="6" w:space="0"/>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全自动化学发光免疫分析仪</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（罗氏E801）</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全自动血气分析仪</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（沃芬医疗GEMPremier 3500）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w:t>
            </w:r>
            <w:r>
              <w:rPr>
                <w:rFonts w:hint="default" w:ascii="方正仿宋_GBK" w:hAnsi="方正仿宋_GBK" w:eastAsia="方正仿宋_GBK" w:cs="方正仿宋_GBK"/>
                <w:color w:val="000000"/>
                <w:sz w:val="24"/>
                <w:szCs w:val="24"/>
                <w:lang w:val="en-US" w:eastAsia="zh-CN"/>
              </w:rPr>
              <w:t>化学发光免疫分析仪</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（科斯迈SMART3000S）</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全自动化学发光免疫分析仪</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（厦门万泰Caris 200）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全自动化学发光免疫分析仪</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（北京中航赛维Ⅵ-200）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59" w:hRule="atLeast"/>
          <w:jc w:val="center"/>
        </w:trPr>
        <w:tc>
          <w:tcPr>
            <w:tcW w:w="637"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7</w:t>
            </w:r>
          </w:p>
        </w:tc>
        <w:tc>
          <w:tcPr>
            <w:tcW w:w="3495"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全自动流式荧光发光免疫分析仪</w:t>
            </w:r>
            <w:r>
              <w:rPr>
                <w:rFonts w:hint="eastAsia" w:ascii="方正仿宋_GBK" w:hAnsi="方正仿宋_GBK" w:eastAsia="方正仿宋_GBK" w:cs="方正仿宋_GBK"/>
                <w:color w:val="000000"/>
                <w:sz w:val="24"/>
                <w:szCs w:val="24"/>
                <w:lang w:val="en-US" w:eastAsia="zh-CN"/>
              </w:rPr>
              <w:t>(上海透景TesmiF4000)</w:t>
            </w:r>
          </w:p>
        </w:tc>
        <w:tc>
          <w:tcPr>
            <w:tcW w:w="1892" w:type="dxa"/>
            <w:tcBorders>
              <w:top w:val="outset" w:color="auto" w:sz="6" w:space="0"/>
              <w:left w:val="outset" w:color="auto" w:sz="6" w:space="0"/>
              <w:bottom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配套试剂</w:t>
            </w:r>
            <w:r>
              <w:rPr>
                <w:rFonts w:hint="eastAsia" w:ascii="方正仿宋_GBK" w:hAnsi="方正仿宋_GBK" w:eastAsia="方正仿宋_GBK" w:cs="方正仿宋_GBK"/>
                <w:color w:val="000000"/>
                <w:sz w:val="24"/>
                <w:szCs w:val="24"/>
                <w:lang w:val="en-US" w:eastAsia="zh-CN"/>
              </w:rPr>
              <w:t>及耗材</w:t>
            </w:r>
          </w:p>
        </w:tc>
        <w:tc>
          <w:tcPr>
            <w:tcW w:w="1390" w:type="dxa"/>
            <w:vMerge w:val="continue"/>
            <w:tcBorders>
              <w:left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712" w:type="dxa"/>
            <w:vMerge w:val="continue"/>
            <w:tcBorders>
              <w:left w:val="outset" w:color="auto" w:sz="6" w:space="0"/>
              <w:right w:val="outset" w:color="auto" w:sz="6" w:space="0"/>
            </w:tcBorders>
            <w:vAlign w:val="center"/>
          </w:tcPr>
          <w:p>
            <w:pPr>
              <w:keepNext/>
              <w:keepLines/>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24964"/>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3374"/>
      <w:bookmarkStart w:id="9" w:name="_Toc17509"/>
      <w:bookmarkStart w:id="10" w:name="_Toc1965"/>
      <w:bookmarkStart w:id="11" w:name="_Toc3976"/>
      <w:bookmarkStart w:id="12" w:name="_Toc9401"/>
      <w:bookmarkStart w:id="13" w:name="_Toc6178"/>
      <w:bookmarkStart w:id="14" w:name="_Toc21930"/>
      <w:bookmarkStart w:id="15" w:name="_Toc22548773"/>
      <w:bookmarkStart w:id="16" w:name="_Toc26564"/>
      <w:bookmarkStart w:id="17" w:name="_Toc11412"/>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23</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13490"/>
      <w:bookmarkStart w:id="19" w:name="_Toc517368027"/>
      <w:bookmarkStart w:id="20" w:name="_Toc527828387"/>
      <w:bookmarkStart w:id="21" w:name="_Toc6933"/>
      <w:bookmarkStart w:id="22" w:name="_Toc22978"/>
      <w:bookmarkStart w:id="23" w:name="_Toc31639"/>
      <w:bookmarkStart w:id="24" w:name="_Toc21862"/>
      <w:bookmarkStart w:id="25" w:name="_Toc517367960"/>
      <w:bookmarkStart w:id="26" w:name="_Toc8132"/>
      <w:bookmarkStart w:id="27" w:name="_Toc3181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和附件4</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517367961"/>
      <w:bookmarkStart w:id="31" w:name="_Toc20734"/>
      <w:bookmarkStart w:id="32" w:name="_Toc527828388"/>
      <w:bookmarkStart w:id="33" w:name="_Toc2188"/>
      <w:bookmarkStart w:id="34" w:name="_Toc1495"/>
      <w:bookmarkStart w:id="35" w:name="_Toc24060"/>
      <w:bookmarkStart w:id="36" w:name="_Toc517368028"/>
      <w:bookmarkStart w:id="37" w:name="_Toc1531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pPr>
      <w:r>
        <w:rPr>
          <w:rFonts w:hint="eastAsia" w:ascii="方正仿宋_GBK" w:hAnsi="方正仿宋_GBK" w:eastAsia="方正仿宋_GBK" w:cs="方正仿宋_GBK"/>
          <w:color w:val="000000"/>
          <w:sz w:val="24"/>
          <w:szCs w:val="24"/>
        </w:rPr>
        <w:br w:type="page"/>
      </w: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表格格式详见附件2和附件4</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2082"/>
      <w:bookmarkStart w:id="43" w:name="_Toc65660382"/>
      <w:bookmarkStart w:id="44" w:name="_Toc106034662"/>
      <w:bookmarkStart w:id="45" w:name="_Toc201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F9D69964-33BC-4508-8081-832A8A077C8E}"/>
  </w:font>
  <w:font w:name="仿宋">
    <w:panose1 w:val="02010609060101010101"/>
    <w:charset w:val="86"/>
    <w:family w:val="modern"/>
    <w:pitch w:val="default"/>
    <w:sig w:usb0="800002BF" w:usb1="38CF7CFA" w:usb2="00000016" w:usb3="00000000" w:csb0="00040001" w:csb1="00000000"/>
    <w:embedRegular r:id="rId2" w:fontKey="{B8639ADA-BF21-4EA3-B390-7A6B1DC563E2}"/>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221A"/>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DDD2C4C"/>
    <w:rsid w:val="0E653757"/>
    <w:rsid w:val="0ED07A7C"/>
    <w:rsid w:val="0EF324E5"/>
    <w:rsid w:val="0FC01DDD"/>
    <w:rsid w:val="10823B03"/>
    <w:rsid w:val="10DC01C8"/>
    <w:rsid w:val="116503A8"/>
    <w:rsid w:val="12FB1E07"/>
    <w:rsid w:val="133F76F0"/>
    <w:rsid w:val="13704662"/>
    <w:rsid w:val="137B0AF3"/>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3B3434B"/>
    <w:rsid w:val="349D3C07"/>
    <w:rsid w:val="34DF325D"/>
    <w:rsid w:val="356E302D"/>
    <w:rsid w:val="36170071"/>
    <w:rsid w:val="365F5254"/>
    <w:rsid w:val="36643853"/>
    <w:rsid w:val="36825B67"/>
    <w:rsid w:val="371210D2"/>
    <w:rsid w:val="377E1DDD"/>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952912"/>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436B3B"/>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5D02B4"/>
    <w:rsid w:val="796F0EC4"/>
    <w:rsid w:val="7AA15452"/>
    <w:rsid w:val="7B5D7B47"/>
    <w:rsid w:val="7B8D1379"/>
    <w:rsid w:val="7C2B724C"/>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4160</Words>
  <Characters>4404</Characters>
  <Lines>12</Lines>
  <Paragraphs>3</Paragraphs>
  <ScaleCrop>false</ScaleCrop>
  <LinksUpToDate>false</LinksUpToDate>
  <CharactersWithSpaces>5168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2024-08-23T04:07:05Z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