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输液、输血器及相关通路产品类低值耗材常规采购需求文件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输液、输血器及相关通路产品类低值耗材常规采购项目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740"/>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868"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低值医用耗材类别名称</w:t>
            </w:r>
          </w:p>
        </w:tc>
        <w:tc>
          <w:tcPr>
            <w:tcW w:w="1740"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99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868"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highlight w:val="none"/>
                <w:lang w:val="en-US" w:eastAsia="zh-CN"/>
              </w:rPr>
              <w:t>输液、输血器及相关通路产品类</w:t>
            </w:r>
          </w:p>
        </w:tc>
        <w:tc>
          <w:tcPr>
            <w:tcW w:w="1740"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990" w:type="dxa"/>
            <w:tcBorders>
              <w:left w:val="single" w:color="auto" w:sz="4" w:space="0"/>
              <w:right w:val="single" w:color="auto" w:sz="4" w:space="0"/>
            </w:tcBorders>
            <w:vAlign w:val="center"/>
          </w:tcPr>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原则上进行线上采购。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p>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auto"/>
                <w:sz w:val="24"/>
                <w:szCs w:val="24"/>
                <w:lang w:val="en-US" w:eastAsia="zh-CN"/>
              </w:rPr>
              <w:t>2024年医院已按照医保分类进行过遴选采购的产品除外。</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 xml:space="preserve">4. </w:t>
      </w:r>
      <w:r>
        <w:rPr>
          <w:rFonts w:hint="eastAsia" w:ascii="方正仿宋_GBK" w:hAnsi="方正仿宋_GBK" w:eastAsia="方正仿宋_GBK" w:cs="方正仿宋_GBK"/>
          <w:color w:val="000000"/>
          <w:sz w:val="24"/>
          <w:szCs w:val="24"/>
          <w:lang w:eastAsia="zh-CN"/>
        </w:rPr>
        <w:t>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3976"/>
      <w:bookmarkStart w:id="9" w:name="_Toc1965"/>
      <w:bookmarkStart w:id="10" w:name="_Toc9401"/>
      <w:bookmarkStart w:id="11" w:name="_Toc6178"/>
      <w:bookmarkStart w:id="12" w:name="_Toc17509"/>
      <w:bookmarkStart w:id="13" w:name="_Toc11412"/>
      <w:bookmarkStart w:id="14" w:name="_Toc21930"/>
      <w:bookmarkStart w:id="15" w:name="_Toc22548773"/>
      <w:bookmarkStart w:id="16" w:name="_Toc26564"/>
      <w:bookmarkStart w:id="17" w:name="_Toc3374"/>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23</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6933"/>
      <w:bookmarkStart w:id="19" w:name="_Toc527828387"/>
      <w:bookmarkStart w:id="20" w:name="_Toc517367960"/>
      <w:bookmarkStart w:id="21" w:name="_Toc8132"/>
      <w:bookmarkStart w:id="22" w:name="_Toc21862"/>
      <w:bookmarkStart w:id="23" w:name="_Toc22978"/>
      <w:bookmarkStart w:id="24" w:name="_Toc517368027"/>
      <w:bookmarkStart w:id="25" w:name="_Toc31810"/>
      <w:bookmarkStart w:id="26" w:name="_Toc13490"/>
      <w:bookmarkStart w:id="27" w:name="_Toc31639"/>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bookmarkStart w:id="53" w:name="_GoBack"/>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响应文件一式两份，其中正、副本各一份（注：封面应注明项目名称、供应商名称、联系人及电话，不需密封）；纸质报价和电子报价各一份（纸质报价</w:t>
      </w:r>
      <w:r>
        <w:rPr>
          <w:rFonts w:hint="eastAsia" w:ascii="方正仿宋_GBK" w:hAnsi="方正仿宋_GBK" w:eastAsia="方正仿宋_GBK" w:cs="方正仿宋_GBK"/>
          <w:color w:val="000000"/>
          <w:sz w:val="24"/>
          <w:szCs w:val="24"/>
          <w:highlight w:val="none"/>
          <w:lang w:eastAsia="zh-CN"/>
        </w:rPr>
        <w:t>需密封，报价格式详见附件2；</w:t>
      </w:r>
      <w:r>
        <w:rPr>
          <w:rFonts w:hint="eastAsia" w:ascii="方正仿宋_GBK" w:hAnsi="方正仿宋_GBK" w:eastAsia="方正仿宋_GBK" w:cs="方正仿宋_GBK"/>
          <w:color w:val="000000"/>
          <w:sz w:val="24"/>
          <w:szCs w:val="24"/>
          <w:highlight w:val="none"/>
          <w:lang w:val="en-US" w:eastAsia="zh-CN"/>
        </w:rPr>
        <w:t>电子报价不密封、报价为EXCEL格式</w:t>
      </w:r>
      <w:r>
        <w:rPr>
          <w:rFonts w:hint="eastAsia" w:ascii="方正仿宋_GBK" w:hAnsi="方正仿宋_GBK" w:eastAsia="方正仿宋_GBK" w:cs="方正仿宋_GBK"/>
          <w:color w:val="000000"/>
          <w:sz w:val="24"/>
          <w:szCs w:val="24"/>
          <w:lang w:eastAsia="zh-CN"/>
        </w:rPr>
        <w:t>）</w:t>
      </w:r>
      <w:bookmarkEnd w:id="53"/>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167"/>
      <w:bookmarkStart w:id="30" w:name="_Toc2188"/>
      <w:bookmarkStart w:id="31" w:name="_Toc527828388"/>
      <w:bookmarkStart w:id="32" w:name="_Toc24060"/>
      <w:bookmarkStart w:id="33" w:name="_Toc517368028"/>
      <w:bookmarkStart w:id="34" w:name="_Toc15317"/>
      <w:bookmarkStart w:id="35" w:name="_Toc1495"/>
      <w:bookmarkStart w:id="36" w:name="_Toc517367961"/>
      <w:bookmarkStart w:id="37" w:name="_Toc20734"/>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42913421"/>
      <w:bookmarkStart w:id="41" w:name="_Toc313008358"/>
      <w:bookmarkStart w:id="42" w:name="_Toc2082"/>
      <w:bookmarkStart w:id="43" w:name="_Toc65660382"/>
      <w:bookmarkStart w:id="44" w:name="_Toc2016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888363"/>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widowControl/>
        <w:spacing w:line="400" w:lineRule="exact"/>
        <w:ind w:firstLine="480" w:firstLineChars="20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widowControl/>
        <w:spacing w:line="400" w:lineRule="exact"/>
        <w:ind w:firstLine="480" w:firstLineChars="200"/>
        <w:jc w:val="left"/>
        <w:rPr>
          <w:rFonts w:hint="eastAsia" w:ascii="方正仿宋_GBK" w:hAnsi="仿宋" w:eastAsia="方正仿宋_GBK"/>
          <w:sz w:val="24"/>
        </w:rPr>
      </w:pPr>
    </w:p>
    <w:p>
      <w:pPr>
        <w:widowControl/>
        <w:spacing w:line="400" w:lineRule="exact"/>
        <w:ind w:firstLine="480" w:firstLineChars="200"/>
        <w:jc w:val="left"/>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2080"/>
      <w:bookmarkStart w:id="51" w:name="_Toc1701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BA0D3075-07F2-4F7C-A5FE-D2889D8BF700}"/>
  </w:font>
  <w:font w:name="仿宋">
    <w:panose1 w:val="02010609060101010101"/>
    <w:charset w:val="86"/>
    <w:family w:val="modern"/>
    <w:pitch w:val="default"/>
    <w:sig w:usb0="800002BF" w:usb1="38CF7CFA" w:usb2="00000016" w:usb3="00000000" w:csb0="00040001" w:csb1="00000000"/>
    <w:embedRegular r:id="rId2" w:fontKey="{5FC49D38-7F49-4974-AB84-45086EEF393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17F89355"/>
    <w:multiLevelType w:val="singleLevel"/>
    <w:tmpl w:val="17F89355"/>
    <w:lvl w:ilvl="0" w:tentative="0">
      <w:start w:val="1"/>
      <w:numFmt w:val="decimal"/>
      <w:suff w:val="nothing"/>
      <w:lvlText w:val="%1、"/>
      <w:lvlJc w:val="left"/>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461F7D"/>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F86475"/>
    <w:rsid w:val="23F95523"/>
    <w:rsid w:val="2437495C"/>
    <w:rsid w:val="259B2A11"/>
    <w:rsid w:val="26030B51"/>
    <w:rsid w:val="260852E0"/>
    <w:rsid w:val="264217CC"/>
    <w:rsid w:val="2964780D"/>
    <w:rsid w:val="29CE6BF9"/>
    <w:rsid w:val="2AC57FFB"/>
    <w:rsid w:val="2AED7E1E"/>
    <w:rsid w:val="2AF9352D"/>
    <w:rsid w:val="2C041E33"/>
    <w:rsid w:val="2C516D69"/>
    <w:rsid w:val="2D7524E6"/>
    <w:rsid w:val="2E8928E3"/>
    <w:rsid w:val="2FF620A4"/>
    <w:rsid w:val="305C705B"/>
    <w:rsid w:val="30BD408D"/>
    <w:rsid w:val="327114A6"/>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684760A"/>
    <w:rsid w:val="47217087"/>
    <w:rsid w:val="472E3198"/>
    <w:rsid w:val="48A335A3"/>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DC505C"/>
    <w:rsid w:val="56E919B9"/>
    <w:rsid w:val="57CB0088"/>
    <w:rsid w:val="58C6010C"/>
    <w:rsid w:val="596468E9"/>
    <w:rsid w:val="596D67DA"/>
    <w:rsid w:val="59ED6194"/>
    <w:rsid w:val="5B395A82"/>
    <w:rsid w:val="5B657F85"/>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B7220C"/>
    <w:rsid w:val="64C85426"/>
    <w:rsid w:val="64CF0321"/>
    <w:rsid w:val="660364FC"/>
    <w:rsid w:val="669453A6"/>
    <w:rsid w:val="66D04197"/>
    <w:rsid w:val="66EF4CD2"/>
    <w:rsid w:val="672804FC"/>
    <w:rsid w:val="67991669"/>
    <w:rsid w:val="69426A8C"/>
    <w:rsid w:val="6A8D37D7"/>
    <w:rsid w:val="6BA36B5C"/>
    <w:rsid w:val="6C1F3525"/>
    <w:rsid w:val="6C2F6015"/>
    <w:rsid w:val="6DC522E8"/>
    <w:rsid w:val="6EFD7139"/>
    <w:rsid w:val="70054579"/>
    <w:rsid w:val="708B4D5C"/>
    <w:rsid w:val="723A6707"/>
    <w:rsid w:val="72C377F4"/>
    <w:rsid w:val="73B21561"/>
    <w:rsid w:val="73EA2176"/>
    <w:rsid w:val="759977E2"/>
    <w:rsid w:val="770F5F97"/>
    <w:rsid w:val="785D02B4"/>
    <w:rsid w:val="796F0EC4"/>
    <w:rsid w:val="79EA3928"/>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4260</Words>
  <Characters>4498</Characters>
  <Lines>12</Lines>
  <Paragraphs>3</Paragraphs>
  <ScaleCrop>false</ScaleCrop>
  <LinksUpToDate>false</LinksUpToDate>
  <CharactersWithSpaces>5288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2024-07-23T01:21:19Z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