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呼吸介入材料常规采购（第三次）需求文件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w:t>
      </w:r>
      <w:r>
        <w:rPr>
          <w:rFonts w:hint="eastAsia" w:ascii="方正仿宋_GBK" w:hAnsi="方正仿宋_GBK" w:eastAsia="方正仿宋_GBK" w:cs="方正仿宋_GBK"/>
          <w:color w:val="000000"/>
          <w:sz w:val="24"/>
          <w:szCs w:val="24"/>
          <w:lang w:val="en-US" w:eastAsia="zh-CN"/>
        </w:rPr>
        <w:t>发布两次采购公告，但由于符合资格性审查的供应商不足三家，采购终止。现发布第三次采购公告，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165"/>
        <w:gridCol w:w="2181"/>
        <w:gridCol w:w="1673"/>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6"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3346"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国家医保医用耗材二级分类</w:t>
            </w:r>
          </w:p>
        </w:tc>
        <w:tc>
          <w:tcPr>
            <w:tcW w:w="1673"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19"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6"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16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代码</w:t>
            </w:r>
          </w:p>
        </w:tc>
        <w:tc>
          <w:tcPr>
            <w:tcW w:w="2181"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名称</w:t>
            </w:r>
          </w:p>
        </w:tc>
        <w:tc>
          <w:tcPr>
            <w:tcW w:w="1673"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c>
          <w:tcPr>
            <w:tcW w:w="3319"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16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0101</w:t>
            </w:r>
          </w:p>
        </w:tc>
        <w:tc>
          <w:tcPr>
            <w:tcW w:w="21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呼吸介入材料</w:t>
            </w:r>
          </w:p>
        </w:tc>
        <w:tc>
          <w:tcPr>
            <w:tcW w:w="167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19"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7509"/>
      <w:bookmarkStart w:id="9" w:name="_Toc3374"/>
      <w:bookmarkStart w:id="10" w:name="_Toc3976"/>
      <w:bookmarkStart w:id="11" w:name="_Toc9401"/>
      <w:bookmarkStart w:id="12" w:name="_Toc26564"/>
      <w:bookmarkStart w:id="13" w:name="_Toc22548773"/>
      <w:bookmarkStart w:id="14" w:name="_Toc1965"/>
      <w:bookmarkStart w:id="15" w:name="_Toc21930"/>
      <w:bookmarkStart w:id="16" w:name="_Toc6178"/>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下载本项目采购要求等谈判前公布的所有项目资料，无论供应商下载与否，均视为已知晓所有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8:30-12:00、14:00-17:00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2978"/>
      <w:bookmarkStart w:id="19" w:name="_Toc6933"/>
      <w:bookmarkStart w:id="20" w:name="_Toc31639"/>
      <w:bookmarkStart w:id="21" w:name="_Toc21862"/>
      <w:bookmarkStart w:id="22" w:name="_Toc8132"/>
      <w:bookmarkStart w:id="23" w:name="_Toc517368027"/>
      <w:bookmarkStart w:id="24" w:name="_Toc13490"/>
      <w:bookmarkStart w:id="25" w:name="_Toc517367960"/>
      <w:bookmarkStart w:id="26" w:name="_Toc31810"/>
      <w:bookmarkStart w:id="27" w:name="_Toc52782838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bookmarkStart w:id="28" w:name="_Toc16951"/>
      <w:bookmarkStart w:id="29" w:name="_Toc1495"/>
      <w:bookmarkStart w:id="30" w:name="_Toc15317"/>
      <w:bookmarkStart w:id="31" w:name="_Toc517367961"/>
      <w:bookmarkStart w:id="32" w:name="_Toc517368028"/>
      <w:bookmarkStart w:id="33" w:name="_Toc24060"/>
      <w:bookmarkStart w:id="34" w:name="_Toc20734"/>
      <w:bookmarkStart w:id="35" w:name="_Toc527828388"/>
      <w:bookmarkStart w:id="36" w:name="_Toc2188"/>
      <w:bookmarkStart w:id="37" w:name="_Toc24167"/>
      <w:r>
        <w:rPr>
          <w:rFonts w:hint="eastAsia" w:ascii="方正仿宋_GBK" w:hAnsi="方正仿宋_GBK" w:eastAsia="方正仿宋_GBK" w:cs="方正仿宋_GBK"/>
          <w:color w:val="000000"/>
          <w:kern w:val="2"/>
          <w:sz w:val="24"/>
          <w:szCs w:val="24"/>
          <w:lang w:val="en-US" w:eastAsia="zh-CN" w:bidi="ar-SA"/>
        </w:rPr>
        <w:t>（一）理解并同意：最低报价非中标的唯一条件。</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（二）报价要求：属于重庆药交所医疗器械电子挂牌交易的医用耗材，原则上报价不得高于药交所最低价。</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（三）响应文件要求</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1.供应商应当按照遴选文件“附页：响应文件格式要求”的规定编制响应文件，并对文件中提出的要求和条件做出实质性响应，同时编制完整的页码、目录。</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2.响应文件一式两份，其中正、副本各一份（注：封面应注明项目名称、供应商名称、联系人及电话，不需密封）；纸质报价和电子报价各一份（</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r>
        <w:rPr>
          <w:rFonts w:hint="eastAsia" w:ascii="方正仿宋_GBK" w:hAnsi="方正仿宋_GBK" w:eastAsia="方正仿宋_GBK" w:cs="方正仿宋_GBK"/>
          <w:color w:val="000000"/>
          <w:kern w:val="2"/>
          <w:sz w:val="24"/>
          <w:szCs w:val="24"/>
          <w:lang w:val="en-US" w:eastAsia="zh-CN" w:bidi="ar-SA"/>
        </w:rPr>
        <w:t>）。</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3.在响应文件正本中，遴选文件“附页：响应文件格式要求”中规定签署、盖章的地方必须按其规定签署、盖章。</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4.若供应商对响应文件的错处作必要修改，则应在修改处加盖供应商公章或由法定代表人（或其授权代表）签署确认。</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5.电报、电话、传真、邮寄形式的响应文件概不接受。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（四）成交供应商要求</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3.实际配送的货物必须与遴选时提供的样品一致，不能以次充好或提供假冒伪劣产品，否则本单位有权单方中止其供货并追究相关法律责任。</w:t>
      </w:r>
    </w:p>
    <w:p>
      <w:pPr>
        <w:keepNext/>
        <w:keepLines/>
        <w:spacing w:line="480" w:lineRule="exact"/>
        <w:ind w:firstLine="480" w:firstLineChars="200"/>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6"/>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6"/>
        <w:jc w:val="center"/>
        <w:rPr>
          <w:rFonts w:hint="eastAsia" w:ascii="方正仿宋_GBK" w:hAnsi="方正仿宋_GBK" w:eastAsia="方正仿宋_GBK" w:cs="方正仿宋_GBK"/>
          <w:b/>
          <w:bCs/>
          <w:sz w:val="28"/>
          <w:szCs w:val="32"/>
          <w:lang w:val="en-US" w:eastAsia="zh-CN"/>
        </w:rPr>
      </w:pPr>
    </w:p>
    <w:p>
      <w:pPr>
        <w:pStyle w:val="6"/>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9"/>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2"/>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106034662"/>
      <w:bookmarkStart w:id="43" w:name="_Toc2082"/>
      <w:bookmarkStart w:id="44" w:name="_Toc656603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106034663"/>
      <w:bookmarkStart w:id="51" w:name="_Toc6566038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7"/>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7"/>
        <w:rPr>
          <w:rFonts w:hint="eastAsia"/>
        </w:rPr>
      </w:pP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7"/>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7"/>
        <w:rPr>
          <w:rFonts w:hint="eastAsia"/>
        </w:rPr>
      </w:pPr>
      <w:r>
        <w:rPr>
          <w:rFonts w:hint="eastAsia"/>
        </w:rPr>
        <w:t>　　　</w:t>
      </w:r>
    </w:p>
    <w:p>
      <w:pPr>
        <w:pStyle w:val="7"/>
        <w:rPr>
          <w:rFonts w:hint="eastAsia" w:ascii="方正仿宋_GBK" w:hAnsi="方正仿宋_GBK" w:eastAsia="方正仿宋_GBK" w:cs="方正仿宋_GBK"/>
          <w:sz w:val="24"/>
          <w:szCs w:val="32"/>
        </w:rPr>
      </w:pPr>
      <w:r>
        <w:rPr>
          <w:rFonts w:hint="eastAsia"/>
        </w:rPr>
        <w:t>　　　</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2"/>
        <w:rPr>
          <w:rFonts w:hint="eastAsia"/>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9"/>
        <w:numPr>
          <w:ilvl w:val="0"/>
          <w:numId w:val="3"/>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9"/>
        <w:numPr>
          <w:ilvl w:val="0"/>
          <w:numId w:val="0"/>
        </w:numPr>
        <w:spacing w:line="400" w:lineRule="exact"/>
        <w:rPr>
          <w:rFonts w:hint="eastAsia" w:ascii="方正仿宋_GBK" w:hAnsi="宋体" w:eastAsia="方正仿宋_GBK"/>
          <w:sz w:val="24"/>
          <w:szCs w:val="24"/>
        </w:rPr>
      </w:pPr>
    </w:p>
    <w:p>
      <w:pPr>
        <w:pStyle w:val="9"/>
        <w:numPr>
          <w:ilvl w:val="0"/>
          <w:numId w:val="0"/>
        </w:numPr>
        <w:spacing w:line="400" w:lineRule="exact"/>
        <w:rPr>
          <w:rFonts w:hint="eastAsia" w:ascii="方正仿宋_GBK" w:hAnsi="宋体" w:eastAsia="方正仿宋_GBK"/>
          <w:sz w:val="24"/>
          <w:szCs w:val="24"/>
        </w:rPr>
      </w:pPr>
    </w:p>
    <w:p>
      <w:pPr>
        <w:pStyle w:val="9"/>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6"/>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1720C00E-782A-458D-974B-A868ED3CB35B}"/>
  </w:font>
  <w:font w:name="仿宋">
    <w:panose1 w:val="02010609060101010101"/>
    <w:charset w:val="86"/>
    <w:family w:val="modern"/>
    <w:pitch w:val="default"/>
    <w:sig w:usb0="800002BF" w:usb1="38CF7CFA" w:usb2="00000016" w:usb3="00000000" w:csb0="00040001" w:csb1="00000000"/>
    <w:embedRegular r:id="rId2" w:fontKey="{85D880F8-0904-48E4-8A2C-FFE469A15C6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6E407B3E"/>
    <w:multiLevelType w:val="singleLevel"/>
    <w:tmpl w:val="6E407B3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EF120E"/>
    <w:rsid w:val="02615062"/>
    <w:rsid w:val="02BB660D"/>
    <w:rsid w:val="03FD66AC"/>
    <w:rsid w:val="04D30198"/>
    <w:rsid w:val="05084823"/>
    <w:rsid w:val="055E66C3"/>
    <w:rsid w:val="06C81FED"/>
    <w:rsid w:val="08041D76"/>
    <w:rsid w:val="09655DC8"/>
    <w:rsid w:val="0A8C3C5A"/>
    <w:rsid w:val="0B145FD1"/>
    <w:rsid w:val="0B4E3BB1"/>
    <w:rsid w:val="0B550CF8"/>
    <w:rsid w:val="0BE831F8"/>
    <w:rsid w:val="0DA82E70"/>
    <w:rsid w:val="0DBD6915"/>
    <w:rsid w:val="0E653757"/>
    <w:rsid w:val="0ED07A7C"/>
    <w:rsid w:val="0EF324E5"/>
    <w:rsid w:val="0F3C1EB4"/>
    <w:rsid w:val="0FC01DDD"/>
    <w:rsid w:val="1047438F"/>
    <w:rsid w:val="10DC01C8"/>
    <w:rsid w:val="116503A8"/>
    <w:rsid w:val="12FB1E07"/>
    <w:rsid w:val="133F76F0"/>
    <w:rsid w:val="13704662"/>
    <w:rsid w:val="13814630"/>
    <w:rsid w:val="13DF3FC3"/>
    <w:rsid w:val="14056573"/>
    <w:rsid w:val="14A409DB"/>
    <w:rsid w:val="15625621"/>
    <w:rsid w:val="15F441A8"/>
    <w:rsid w:val="16A60816"/>
    <w:rsid w:val="17F26FAE"/>
    <w:rsid w:val="18687FAE"/>
    <w:rsid w:val="19804882"/>
    <w:rsid w:val="1ABF336E"/>
    <w:rsid w:val="1AC856F5"/>
    <w:rsid w:val="1B0065DB"/>
    <w:rsid w:val="1BD877D9"/>
    <w:rsid w:val="1C0C3F18"/>
    <w:rsid w:val="1D54216D"/>
    <w:rsid w:val="1E3356E8"/>
    <w:rsid w:val="1E44427C"/>
    <w:rsid w:val="1ED95F50"/>
    <w:rsid w:val="1FD86743"/>
    <w:rsid w:val="201D7DBD"/>
    <w:rsid w:val="21546A66"/>
    <w:rsid w:val="21693711"/>
    <w:rsid w:val="21B0668C"/>
    <w:rsid w:val="226E4C36"/>
    <w:rsid w:val="23F95523"/>
    <w:rsid w:val="24121967"/>
    <w:rsid w:val="2437495C"/>
    <w:rsid w:val="26030B51"/>
    <w:rsid w:val="260852E0"/>
    <w:rsid w:val="2964780D"/>
    <w:rsid w:val="29CE6BF9"/>
    <w:rsid w:val="2AC57FFB"/>
    <w:rsid w:val="2AED7E1E"/>
    <w:rsid w:val="2C041E33"/>
    <w:rsid w:val="2C516D69"/>
    <w:rsid w:val="2D7524E6"/>
    <w:rsid w:val="2E8928E3"/>
    <w:rsid w:val="305C705B"/>
    <w:rsid w:val="30BD408D"/>
    <w:rsid w:val="31DD584B"/>
    <w:rsid w:val="327114A6"/>
    <w:rsid w:val="34DF325D"/>
    <w:rsid w:val="356E302D"/>
    <w:rsid w:val="36825B67"/>
    <w:rsid w:val="39842583"/>
    <w:rsid w:val="3A07396B"/>
    <w:rsid w:val="3A183D49"/>
    <w:rsid w:val="3A3D3178"/>
    <w:rsid w:val="3A757783"/>
    <w:rsid w:val="3B82689F"/>
    <w:rsid w:val="3D0B21A9"/>
    <w:rsid w:val="3E752DC9"/>
    <w:rsid w:val="41A53F56"/>
    <w:rsid w:val="443474E0"/>
    <w:rsid w:val="44A168CC"/>
    <w:rsid w:val="44A8542F"/>
    <w:rsid w:val="4684760A"/>
    <w:rsid w:val="472E3198"/>
    <w:rsid w:val="47BB15B8"/>
    <w:rsid w:val="49664A06"/>
    <w:rsid w:val="4B046ED0"/>
    <w:rsid w:val="4B9D04D7"/>
    <w:rsid w:val="4BA43FBA"/>
    <w:rsid w:val="4C29250E"/>
    <w:rsid w:val="4C582C53"/>
    <w:rsid w:val="4C916197"/>
    <w:rsid w:val="4CD82061"/>
    <w:rsid w:val="4D433F84"/>
    <w:rsid w:val="509D5C5F"/>
    <w:rsid w:val="50AA111F"/>
    <w:rsid w:val="51E01C21"/>
    <w:rsid w:val="52F56DBE"/>
    <w:rsid w:val="53400388"/>
    <w:rsid w:val="56210721"/>
    <w:rsid w:val="56E919B9"/>
    <w:rsid w:val="57CB0088"/>
    <w:rsid w:val="596468E9"/>
    <w:rsid w:val="59ED6194"/>
    <w:rsid w:val="5B395A82"/>
    <w:rsid w:val="5C3D48CF"/>
    <w:rsid w:val="5CB95A8B"/>
    <w:rsid w:val="5D24510E"/>
    <w:rsid w:val="5EC809F4"/>
    <w:rsid w:val="5F1818BF"/>
    <w:rsid w:val="5F2F1888"/>
    <w:rsid w:val="5F6A3B63"/>
    <w:rsid w:val="603F4A02"/>
    <w:rsid w:val="61AB3DF6"/>
    <w:rsid w:val="61F62AB1"/>
    <w:rsid w:val="621921C6"/>
    <w:rsid w:val="62AC472E"/>
    <w:rsid w:val="64434207"/>
    <w:rsid w:val="644A5BFB"/>
    <w:rsid w:val="646E458C"/>
    <w:rsid w:val="64713D93"/>
    <w:rsid w:val="64C85426"/>
    <w:rsid w:val="64CF0321"/>
    <w:rsid w:val="660364FC"/>
    <w:rsid w:val="669453A6"/>
    <w:rsid w:val="66D04197"/>
    <w:rsid w:val="672804FC"/>
    <w:rsid w:val="67991669"/>
    <w:rsid w:val="6A7C1BB2"/>
    <w:rsid w:val="6A8D37D7"/>
    <w:rsid w:val="6BA36B5C"/>
    <w:rsid w:val="6C1F3525"/>
    <w:rsid w:val="6DC522E8"/>
    <w:rsid w:val="6EFD7139"/>
    <w:rsid w:val="70054579"/>
    <w:rsid w:val="708B4D5C"/>
    <w:rsid w:val="723A6707"/>
    <w:rsid w:val="72C377F4"/>
    <w:rsid w:val="73281516"/>
    <w:rsid w:val="73EA2176"/>
    <w:rsid w:val="73FE2DA0"/>
    <w:rsid w:val="759977E2"/>
    <w:rsid w:val="770F5F97"/>
    <w:rsid w:val="785D02B4"/>
    <w:rsid w:val="7AA15452"/>
    <w:rsid w:val="7B5D7B47"/>
    <w:rsid w:val="7B8D1379"/>
    <w:rsid w:val="7CA547CE"/>
    <w:rsid w:val="7CCF152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line="180" w:lineRule="auto"/>
      <w:jc w:val="center"/>
    </w:pPr>
    <w:rPr>
      <w:sz w:val="30"/>
    </w:rPr>
  </w:style>
  <w:style w:type="paragraph" w:styleId="5">
    <w:name w:val="annotation text"/>
    <w:basedOn w:val="1"/>
    <w:autoRedefine/>
    <w:unhideWhenUsed/>
    <w:qFormat/>
    <w:uiPriority w:val="99"/>
    <w:pPr>
      <w:jc w:val="left"/>
    </w:pPr>
  </w:style>
  <w:style w:type="paragraph" w:styleId="6">
    <w:name w:val="Body Text"/>
    <w:basedOn w:val="1"/>
    <w:autoRedefine/>
    <w:unhideWhenUsed/>
    <w:qFormat/>
    <w:uiPriority w:val="99"/>
  </w:style>
  <w:style w:type="paragraph" w:styleId="7">
    <w:name w:val="Plain Text"/>
    <w:basedOn w:val="1"/>
    <w:autoRedefine/>
    <w:qFormat/>
    <w:uiPriority w:val="0"/>
    <w:rPr>
      <w:rFonts w:ascii="宋体" w:hAnsi="Courier New"/>
    </w:rPr>
  </w:style>
  <w:style w:type="paragraph" w:styleId="8">
    <w:name w:val="Date"/>
    <w:basedOn w:val="1"/>
    <w:next w:val="1"/>
    <w:autoRedefine/>
    <w:unhideWhenUsed/>
    <w:qFormat/>
    <w:uiPriority w:val="99"/>
    <w:rPr>
      <w:sz w:val="28"/>
      <w:szCs w:val="20"/>
    </w:rPr>
  </w:style>
  <w:style w:type="paragraph" w:styleId="9">
    <w:name w:val="Body Text Indent 2"/>
    <w:basedOn w:val="1"/>
    <w:autoRedefine/>
    <w:qFormat/>
    <w:uiPriority w:val="0"/>
    <w:pPr>
      <w:snapToGrid w:val="0"/>
      <w:spacing w:line="560" w:lineRule="atLeast"/>
      <w:ind w:firstLine="540"/>
    </w:pPr>
  </w:style>
  <w:style w:type="paragraph" w:styleId="10">
    <w:name w:val="footer"/>
    <w:basedOn w:val="1"/>
    <w:link w:val="16"/>
    <w:autoRedefine/>
    <w:unhideWhenUsed/>
    <w:qFormat/>
    <w:uiPriority w:val="99"/>
    <w:pPr>
      <w:tabs>
        <w:tab w:val="center" w:pos="4153"/>
        <w:tab w:val="right" w:pos="8306"/>
      </w:tabs>
      <w:snapToGrid w:val="0"/>
      <w:jc w:val="left"/>
    </w:pPr>
    <w:rPr>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1"/>
    <w:autoRedefine/>
    <w:qFormat/>
    <w:uiPriority w:val="99"/>
    <w:rPr>
      <w:sz w:val="18"/>
      <w:szCs w:val="18"/>
    </w:rPr>
  </w:style>
  <w:style w:type="character" w:customStyle="1" w:styleId="16">
    <w:name w:val="页脚 Char"/>
    <w:basedOn w:val="14"/>
    <w:link w:val="10"/>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39</TotalTime>
  <ScaleCrop>false</ScaleCrop>
  <LinksUpToDate>false</LinksUpToDate>
  <CharactersWithSpaces>1586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2024-06-27T08:55:08Z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