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心脏外科类医用耗材常规采购需求文件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bookmarkEnd w:id="0"/>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lang w:val="en-US" w:eastAsia="zh-CN"/>
        </w:rPr>
        <w:t>重庆市第四人民医院曾</w:t>
      </w:r>
      <w:r>
        <w:rPr>
          <w:rFonts w:hint="eastAsia" w:ascii="方正仿宋_GBK" w:hAnsi="方正仿宋_GBK" w:eastAsia="方正仿宋_GBK" w:cs="方正仿宋_GBK"/>
          <w:color w:val="000000"/>
          <w:sz w:val="24"/>
          <w:szCs w:val="24"/>
        </w:rPr>
        <w:t>对以下产品</w:t>
      </w:r>
      <w:r>
        <w:rPr>
          <w:rFonts w:hint="eastAsia" w:ascii="方正仿宋_GBK" w:hAnsi="方正仿宋_GBK" w:eastAsia="方正仿宋_GBK" w:cs="方正仿宋_GBK"/>
          <w:color w:val="000000"/>
          <w:sz w:val="24"/>
          <w:szCs w:val="24"/>
          <w:lang w:val="en-US" w:eastAsia="zh-CN"/>
        </w:rPr>
        <w:t>发布采购公告，但由于递交响应材料的供应商不足三家，采购终止。现发布第三次采购公告，</w:t>
      </w:r>
      <w:r>
        <w:rPr>
          <w:rFonts w:hint="eastAsia" w:ascii="方正仿宋_GBK" w:hAnsi="方正仿宋_GBK" w:eastAsia="方正仿宋_GBK" w:cs="方正仿宋_GBK"/>
          <w:color w:val="000000"/>
          <w:sz w:val="24"/>
          <w:szCs w:val="24"/>
        </w:rPr>
        <w:t>欢迎具有相关资质且有良好信誉和配送能力的单位（公司）参</w:t>
      </w:r>
      <w:r>
        <w:rPr>
          <w:rFonts w:hint="eastAsia" w:ascii="方正仿宋_GBK" w:hAnsi="方正仿宋_GBK" w:eastAsia="方正仿宋_GBK" w:cs="方正仿宋_GBK"/>
          <w:color w:val="000000"/>
          <w:sz w:val="24"/>
          <w:szCs w:val="24"/>
          <w:lang w:val="en-US" w:eastAsia="zh-CN"/>
        </w:rPr>
        <w:t>与竞争</w:t>
      </w:r>
      <w:r>
        <w:rPr>
          <w:rFonts w:hint="eastAsia" w:ascii="方正仿宋_GBK" w:hAnsi="方正仿宋_GBK" w:eastAsia="方正仿宋_GBK" w:cs="方正仿宋_GBK"/>
          <w:color w:val="000000"/>
          <w:sz w:val="24"/>
          <w:szCs w:val="24"/>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3"/>
        <w:tblW w:w="9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332"/>
        <w:gridCol w:w="3035"/>
        <w:gridCol w:w="173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0"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4367" w:type="dxa"/>
            <w:gridSpan w:val="2"/>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highlight w:val="none"/>
                <w:lang w:val="en-US" w:eastAsia="zh-CN"/>
              </w:rPr>
              <w:t>国家医保医用耗材二级分类</w:t>
            </w:r>
          </w:p>
        </w:tc>
        <w:tc>
          <w:tcPr>
            <w:tcW w:w="1730"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2516"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70" w:type="dxa"/>
            <w:vMerge w:val="continue"/>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val="en-US" w:eastAsia="zh-CN"/>
              </w:rPr>
            </w:pPr>
          </w:p>
        </w:tc>
        <w:tc>
          <w:tcPr>
            <w:tcW w:w="1332"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代码</w:t>
            </w:r>
          </w:p>
        </w:tc>
        <w:tc>
          <w:tcPr>
            <w:tcW w:w="3035"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名称</w:t>
            </w:r>
          </w:p>
        </w:tc>
        <w:tc>
          <w:tcPr>
            <w:tcW w:w="1730" w:type="dxa"/>
            <w:vMerge w:val="continue"/>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rPr>
            </w:pPr>
          </w:p>
        </w:tc>
        <w:tc>
          <w:tcPr>
            <w:tcW w:w="2516"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1332"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0501</w:t>
            </w:r>
          </w:p>
        </w:tc>
        <w:tc>
          <w:tcPr>
            <w:tcW w:w="303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心律失常外科</w:t>
            </w:r>
          </w:p>
        </w:tc>
        <w:tc>
          <w:tcPr>
            <w:tcW w:w="1730"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2516"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1、高值耗材线上采购。       2、集采耗材除外。    3、供应商</w:t>
            </w:r>
            <w:r>
              <w:rPr>
                <w:rFonts w:hint="eastAsia" w:ascii="方正仿宋_GBK" w:hAnsi="方正仿宋_GBK" w:eastAsia="方正仿宋_GBK" w:cs="方正仿宋_GBK"/>
                <w:color w:val="000000"/>
                <w:sz w:val="24"/>
                <w:szCs w:val="24"/>
              </w:rPr>
              <w:t>所投产品规格应尽可能的齐全</w:t>
            </w:r>
            <w:r>
              <w:rPr>
                <w:rFonts w:hint="eastAsia" w:ascii="方正仿宋_GBK" w:hAnsi="方正仿宋_GBK" w:eastAsia="方正仿宋_GBK" w:cs="方正仿宋_GBK"/>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bookmarkStart w:id="3" w:name="_Toc7024"/>
            <w:bookmarkStart w:id="4" w:name="_Toc373860293"/>
            <w:r>
              <w:rPr>
                <w:rFonts w:hint="eastAsia" w:ascii="方正仿宋_GBK" w:hAnsi="方正仿宋_GBK" w:eastAsia="方正仿宋_GBK" w:cs="方正仿宋_GBK"/>
                <w:color w:val="000000"/>
                <w:sz w:val="24"/>
                <w:szCs w:val="24"/>
                <w:lang w:val="en-US" w:eastAsia="zh-CN"/>
              </w:rPr>
              <w:t>2</w:t>
            </w:r>
          </w:p>
        </w:tc>
        <w:tc>
          <w:tcPr>
            <w:tcW w:w="1332" w:type="dxa"/>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0502</w:t>
            </w:r>
          </w:p>
        </w:tc>
        <w:tc>
          <w:tcPr>
            <w:tcW w:w="303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冠脉外科</w:t>
            </w:r>
          </w:p>
        </w:tc>
        <w:tc>
          <w:tcPr>
            <w:tcW w:w="173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2516" w:type="dxa"/>
            <w:vMerge w:val="continue"/>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332" w:type="dxa"/>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0505</w:t>
            </w:r>
          </w:p>
        </w:tc>
        <w:tc>
          <w:tcPr>
            <w:tcW w:w="303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其他心脏外科材料</w:t>
            </w:r>
          </w:p>
        </w:tc>
        <w:tc>
          <w:tcPr>
            <w:tcW w:w="173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2516" w:type="dxa"/>
            <w:vMerge w:val="continue"/>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sz w:val="24"/>
                <w:szCs w:val="24"/>
                <w:lang w:val="en-US" w:eastAsia="zh-CN"/>
              </w:rPr>
            </w:pP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530045187"/>
      <w:bookmarkStart w:id="6" w:name="_Toc30975"/>
      <w:bookmarkStart w:id="7" w:name="_Toc24964"/>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21930"/>
      <w:bookmarkStart w:id="9" w:name="_Toc1965"/>
      <w:bookmarkStart w:id="10" w:name="_Toc26564"/>
      <w:bookmarkStart w:id="11" w:name="_Toc3976"/>
      <w:bookmarkStart w:id="12" w:name="_Toc22548773"/>
      <w:bookmarkStart w:id="13" w:name="_Toc9401"/>
      <w:bookmarkStart w:id="14" w:name="_Toc11412"/>
      <w:bookmarkStart w:id="15" w:name="_Toc6178"/>
      <w:bookmarkStart w:id="16" w:name="_Toc17509"/>
      <w:bookmarkStart w:id="17" w:name="_Toc3374"/>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6</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25</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bookmarkStart w:id="53" w:name="_GoBack"/>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日</w:t>
      </w:r>
      <w:r>
        <w:rPr>
          <w:rFonts w:hint="eastAsia" w:ascii="方正仿宋_GBK" w:hAnsi="方正仿宋_GBK" w:eastAsia="方正仿宋_GBK" w:cs="方正仿宋_GBK"/>
          <w:color w:val="000000"/>
          <w:sz w:val="24"/>
          <w:szCs w:val="24"/>
          <w:lang w:val="en-US" w:eastAsia="zh-CN"/>
        </w:rPr>
        <w:t>8:30-12:00、14:30-17:00</w:t>
      </w:r>
      <w:bookmarkEnd w:id="53"/>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517368027"/>
      <w:bookmarkStart w:id="19" w:name="_Toc21862"/>
      <w:bookmarkStart w:id="20" w:name="_Toc31810"/>
      <w:bookmarkStart w:id="21" w:name="_Toc517367960"/>
      <w:bookmarkStart w:id="22" w:name="_Toc6933"/>
      <w:bookmarkStart w:id="23" w:name="_Toc22978"/>
      <w:bookmarkStart w:id="24" w:name="_Toc527828387"/>
      <w:bookmarkStart w:id="25" w:name="_Toc8132"/>
      <w:bookmarkStart w:id="26" w:name="_Toc31639"/>
      <w:bookmarkStart w:id="27" w:name="_Toc13490"/>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default" w:ascii="方正仿宋_GBK" w:hAnsi="方正仿宋_GBK" w:eastAsia="方正仿宋_GBK" w:cs="方正仿宋_GBK"/>
          <w:color w:val="000000"/>
          <w:kern w:val="2"/>
          <w:sz w:val="24"/>
          <w:szCs w:val="24"/>
          <w:highlight w:val="yellow"/>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（二）报价要求：属于重庆药交所医疗器械电子挂牌交易的医用耗材，原则上报价不得高于药交所最低价。</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（三）</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响应文件一式两份，其中正、副本各一份（注：封面应注明项目名称、供应商名称、联系人及电话，不需密封）；纸质报价和电子版报价各一份（</w:t>
      </w:r>
      <w:r>
        <w:rPr>
          <w:rFonts w:hint="eastAsia" w:ascii="方正仿宋_GBK" w:hAnsi="方正仿宋_GBK" w:eastAsia="方正仿宋_GBK" w:cs="方正仿宋_GBK"/>
          <w:color w:val="000000"/>
          <w:sz w:val="24"/>
          <w:szCs w:val="24"/>
          <w:highlight w:val="none"/>
          <w:lang w:eastAsia="zh-CN"/>
        </w:rPr>
        <w:t>需密封，报价格式详见附件2；</w:t>
      </w:r>
      <w:r>
        <w:rPr>
          <w:rFonts w:hint="eastAsia" w:ascii="方正仿宋_GBK" w:hAnsi="方正仿宋_GBK" w:eastAsia="方正仿宋_GBK" w:cs="方正仿宋_GBK"/>
          <w:color w:val="000000"/>
          <w:sz w:val="24"/>
          <w:szCs w:val="24"/>
          <w:highlight w:val="none"/>
          <w:lang w:val="en-US" w:eastAsia="zh-CN"/>
        </w:rPr>
        <w:t>电子报价为EXCEL格式</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highlight w:val="yellow"/>
          <w:lang w:val="en-US" w:eastAsia="zh-CN"/>
        </w:rPr>
      </w:pPr>
      <w:r>
        <w:rPr>
          <w:rFonts w:hint="eastAsia" w:ascii="方正仿宋_GBK" w:hAnsi="方正仿宋_GBK" w:eastAsia="方正仿宋_GBK" w:cs="方正仿宋_GBK"/>
          <w:color w:val="000000"/>
          <w:sz w:val="24"/>
          <w:szCs w:val="24"/>
          <w:highlight w:val="none"/>
          <w:lang w:val="en-US" w:eastAsia="zh-CN"/>
        </w:rPr>
        <w:t>1.成交供应商原则上应在招标结果公示期满无异议后十日内和采购人完善合同相关手续，逾期视为自动放弃中标资格。采购人可以按照成交候选人顺序，确定排名下一位的候选人为成交供应商，也可以重新开展采购活动。拒绝完善合同相关手续的成交供应商不得参加对该项目重新开展的采购活动。</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3.实际配送的货物必须与遴选时提供的样品一致，不能以次充好或提供假冒伪劣产品，否则本单位有权单方中止其供货并追究相关法律责任。</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4.集采耗材严格按上级规定及医院制度执行，若违规，将取消供货资格。</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517368028"/>
      <w:bookmarkStart w:id="30" w:name="_Toc15317"/>
      <w:bookmarkStart w:id="31" w:name="_Toc1495"/>
      <w:bookmarkStart w:id="32" w:name="_Toc24167"/>
      <w:bookmarkStart w:id="33" w:name="_Toc24060"/>
      <w:bookmarkStart w:id="34" w:name="_Toc527828388"/>
      <w:bookmarkStart w:id="35" w:name="_Toc517367961"/>
      <w:bookmarkStart w:id="36" w:name="_Toc2188"/>
      <w:bookmarkStart w:id="37" w:name="_Toc20734"/>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5"/>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5"/>
        <w:jc w:val="center"/>
        <w:rPr>
          <w:rFonts w:hint="eastAsia" w:ascii="方正仿宋_GBK" w:hAnsi="方正仿宋_GBK" w:eastAsia="方正仿宋_GBK" w:cs="方正仿宋_GBK"/>
          <w:b/>
          <w:bCs/>
          <w:sz w:val="28"/>
          <w:szCs w:val="32"/>
          <w:lang w:val="en-US" w:eastAsia="zh-CN"/>
        </w:rPr>
      </w:pPr>
    </w:p>
    <w:p>
      <w:pPr>
        <w:pStyle w:val="5"/>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1"/>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hint="eastAsia" w:ascii="方正仿宋_GBK" w:hAnsi="宋体" w:eastAsia="方正仿宋_GBK"/>
          <w:sz w:val="24"/>
        </w:rPr>
      </w:pPr>
      <w:bookmarkStart w:id="39" w:name="_Toc313008358"/>
      <w:bookmarkStart w:id="40" w:name="_Toc342913421"/>
      <w:bookmarkStart w:id="41" w:name="_Toc313888362"/>
      <w:bookmarkStart w:id="42" w:name="_Toc20162"/>
      <w:bookmarkStart w:id="43" w:name="_Toc106034662"/>
      <w:bookmarkStart w:id="44" w:name="_Toc2082"/>
      <w:bookmarkStart w:id="45" w:name="_Toc6566038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42913422"/>
      <w:bookmarkStart w:id="47" w:name="_Toc313888363"/>
      <w:bookmarkStart w:id="48" w:name="_Toc31300835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2"/>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2080"/>
      <w:bookmarkStart w:id="50" w:name="_Toc106034663"/>
      <w:bookmarkStart w:id="51" w:name="_Toc17010"/>
      <w:bookmarkStart w:id="52" w:name="_Toc65660383"/>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w:t>
      </w:r>
    </w:p>
    <w:p>
      <w:pPr>
        <w:pStyle w:val="6"/>
        <w:jc w:val="center"/>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供应商诚信管理承诺函</w:t>
      </w:r>
    </w:p>
    <w:p>
      <w:pPr>
        <w:pStyle w:val="6"/>
        <w:rPr>
          <w:rFonts w:hint="eastAsia"/>
        </w:rPr>
      </w:pP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本企业郑重承诺：我们视诚信为企业的生命，在招标采购活动中，保证遵守诚实信用原则，忠实履行社会责任。</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一、守法诚信。本企业依法经营，规范服务，自觉维护公平竞争环境。不恶意质疑投诉；不以回扣、好处费、红包、提成等手段拉拢采购人、采购机构和监督管理机构相关工作人员和评审专家。</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二</w:t>
      </w:r>
      <w:r>
        <w:rPr>
          <w:rFonts w:hint="eastAsia" w:ascii="方正仿宋_GBK" w:hAnsi="方正仿宋_GBK" w:eastAsia="方正仿宋_GBK" w:cs="方正仿宋_GBK"/>
          <w:sz w:val="24"/>
          <w:szCs w:val="32"/>
          <w:lang w:eastAsia="zh-CN"/>
        </w:rPr>
        <w:t>、</w:t>
      </w:r>
      <w:r>
        <w:rPr>
          <w:rFonts w:hint="eastAsia" w:ascii="方正仿宋_GBK" w:hAnsi="方正仿宋_GBK" w:eastAsia="方正仿宋_GBK" w:cs="方正仿宋_GBK"/>
          <w:sz w:val="24"/>
          <w:szCs w:val="32"/>
        </w:rPr>
        <w:t>效率诚信。本企业确保按照合同约定按时交货和及时提供服务。</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三、价格诚信。本企业确保供应的产品和服务成交价格不高于该产品和服务的同期市场价格。</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四、质量诚信。本企业确保供应的产品和服务都符合规定的设计和制造生产的行业标准，手续合法完备。</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五、服务诚信。本企业确保按照合同约定为供应的产品提供相关售后服务，保障用户顺利使用。</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我们将自觉遵守以上承诺，并主动接受各供应商、采购用户单位、政府监管部门的监督与检查。如有违背以上承诺，本企业愿意接受</w:t>
      </w:r>
      <w:r>
        <w:rPr>
          <w:rFonts w:hint="eastAsia" w:ascii="方正仿宋_GBK" w:hAnsi="方正仿宋_GBK" w:eastAsia="方正仿宋_GBK" w:cs="方正仿宋_GBK"/>
          <w:sz w:val="24"/>
          <w:szCs w:val="32"/>
          <w:lang w:val="en-US" w:eastAsia="zh-CN"/>
        </w:rPr>
        <w:t>进入</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采购失信供应商黑名单</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sz w:val="24"/>
          <w:szCs w:val="32"/>
        </w:rPr>
        <w:t>取消供应商资格等处罚措施，并愿意承担赔偿损失等相关法律责任。</w:t>
      </w:r>
    </w:p>
    <w:p>
      <w:pPr>
        <w:pStyle w:val="6"/>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hint="eastAsia"/>
        </w:rPr>
      </w:pPr>
      <w:r>
        <w:rPr>
          <w:rFonts w:hint="eastAsia"/>
        </w:rPr>
        <w:t>　　　</w:t>
      </w:r>
    </w:p>
    <w:p>
      <w:pPr>
        <w:pStyle w:val="6"/>
        <w:rPr>
          <w:rFonts w:hint="eastAsia"/>
        </w:rPr>
      </w:pPr>
      <w:r>
        <w:rPr>
          <w:rFonts w:hint="eastAsia"/>
        </w:rPr>
        <w:t>　　　</w:t>
      </w:r>
    </w:p>
    <w:p>
      <w:pPr>
        <w:pStyle w:val="6"/>
        <w:rPr>
          <w:rFonts w:hint="eastAsia" w:ascii="方正仿宋_GBK" w:hAnsi="方正仿宋_GBK" w:eastAsia="方正仿宋_GBK" w:cs="方正仿宋_GBK"/>
          <w:sz w:val="24"/>
          <w:szCs w:val="32"/>
        </w:rPr>
      </w:pPr>
      <w:r>
        <w:rPr>
          <w:rFonts w:hint="eastAsia"/>
        </w:rPr>
        <w:t>　　　</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承诺企业(盖章):</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年  月  日</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br w:type="page"/>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lang w:val="en-US" w:eastAsia="zh-CN"/>
        </w:rPr>
        <w:t>（二）产品质量及售后服务保证书、产品介绍、彩页资料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5"/>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58F4DCD9-F058-49FB-9B8F-B740EAA1AB92}"/>
  </w:font>
  <w:font w:name="仿宋">
    <w:panose1 w:val="02010609060101010101"/>
    <w:charset w:val="86"/>
    <w:family w:val="modern"/>
    <w:pitch w:val="default"/>
    <w:sig w:usb0="800002BF" w:usb1="38CF7CFA" w:usb2="00000016" w:usb3="00000000" w:csb0="00040001" w:csb1="00000000"/>
    <w:embedRegular r:id="rId2" w:fontKey="{58B5FD18-DC22-4B28-8C47-BA19B936DB4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14C2E59"/>
    <w:rsid w:val="02615062"/>
    <w:rsid w:val="02BB660D"/>
    <w:rsid w:val="03FD66AC"/>
    <w:rsid w:val="042F0B14"/>
    <w:rsid w:val="05084823"/>
    <w:rsid w:val="055E66C3"/>
    <w:rsid w:val="08041D76"/>
    <w:rsid w:val="09655DC8"/>
    <w:rsid w:val="0A8C3C5A"/>
    <w:rsid w:val="0B145FD1"/>
    <w:rsid w:val="0B4E3BB1"/>
    <w:rsid w:val="0BE831F8"/>
    <w:rsid w:val="0DBD6915"/>
    <w:rsid w:val="0E653757"/>
    <w:rsid w:val="0ED07A7C"/>
    <w:rsid w:val="0EF324E5"/>
    <w:rsid w:val="0FC01DDD"/>
    <w:rsid w:val="10DC01C8"/>
    <w:rsid w:val="116503A8"/>
    <w:rsid w:val="12FB1E07"/>
    <w:rsid w:val="133F76F0"/>
    <w:rsid w:val="13704662"/>
    <w:rsid w:val="13814630"/>
    <w:rsid w:val="13AE356E"/>
    <w:rsid w:val="13DF3FC3"/>
    <w:rsid w:val="14A409DB"/>
    <w:rsid w:val="15625621"/>
    <w:rsid w:val="15F441A8"/>
    <w:rsid w:val="16A60816"/>
    <w:rsid w:val="17F26FAE"/>
    <w:rsid w:val="18492EA2"/>
    <w:rsid w:val="18687FAE"/>
    <w:rsid w:val="19804882"/>
    <w:rsid w:val="1AC856F5"/>
    <w:rsid w:val="1BD877D9"/>
    <w:rsid w:val="1D54216D"/>
    <w:rsid w:val="1E27255E"/>
    <w:rsid w:val="1E3356E8"/>
    <w:rsid w:val="1E44427C"/>
    <w:rsid w:val="1FD86743"/>
    <w:rsid w:val="201D7DBD"/>
    <w:rsid w:val="20842103"/>
    <w:rsid w:val="21546A66"/>
    <w:rsid w:val="21693711"/>
    <w:rsid w:val="226E4C36"/>
    <w:rsid w:val="23F95523"/>
    <w:rsid w:val="2437495C"/>
    <w:rsid w:val="26030B51"/>
    <w:rsid w:val="260852E0"/>
    <w:rsid w:val="2964780D"/>
    <w:rsid w:val="29CE6BF9"/>
    <w:rsid w:val="2AC57FFB"/>
    <w:rsid w:val="2AED7E1E"/>
    <w:rsid w:val="2C041E33"/>
    <w:rsid w:val="2C516D69"/>
    <w:rsid w:val="2D7524E6"/>
    <w:rsid w:val="2E8928E3"/>
    <w:rsid w:val="2FF620A4"/>
    <w:rsid w:val="305C705B"/>
    <w:rsid w:val="30BD408D"/>
    <w:rsid w:val="327114A6"/>
    <w:rsid w:val="34DF325D"/>
    <w:rsid w:val="356E302D"/>
    <w:rsid w:val="365F5254"/>
    <w:rsid w:val="36825B67"/>
    <w:rsid w:val="38E4332B"/>
    <w:rsid w:val="391F477E"/>
    <w:rsid w:val="39656E91"/>
    <w:rsid w:val="39842583"/>
    <w:rsid w:val="398B0EE9"/>
    <w:rsid w:val="3A07396B"/>
    <w:rsid w:val="3A086314"/>
    <w:rsid w:val="3A183D49"/>
    <w:rsid w:val="3A3D3178"/>
    <w:rsid w:val="3A757783"/>
    <w:rsid w:val="3B775651"/>
    <w:rsid w:val="3B82689F"/>
    <w:rsid w:val="3C6D55D9"/>
    <w:rsid w:val="3D0B21A9"/>
    <w:rsid w:val="3E752DC9"/>
    <w:rsid w:val="4047556D"/>
    <w:rsid w:val="41A53F56"/>
    <w:rsid w:val="443474E0"/>
    <w:rsid w:val="44A168CC"/>
    <w:rsid w:val="44A17DC5"/>
    <w:rsid w:val="44A8542F"/>
    <w:rsid w:val="4684760A"/>
    <w:rsid w:val="472E3198"/>
    <w:rsid w:val="48D60D1F"/>
    <w:rsid w:val="49664A06"/>
    <w:rsid w:val="4B046ED0"/>
    <w:rsid w:val="4B9D04D7"/>
    <w:rsid w:val="4BA43FBA"/>
    <w:rsid w:val="4C29250E"/>
    <w:rsid w:val="4C582C53"/>
    <w:rsid w:val="4CD82061"/>
    <w:rsid w:val="4D220017"/>
    <w:rsid w:val="4D433F84"/>
    <w:rsid w:val="509D5C5F"/>
    <w:rsid w:val="50AA111F"/>
    <w:rsid w:val="51E01C21"/>
    <w:rsid w:val="52F56DBE"/>
    <w:rsid w:val="53400388"/>
    <w:rsid w:val="56210721"/>
    <w:rsid w:val="56E919B9"/>
    <w:rsid w:val="57CB0088"/>
    <w:rsid w:val="596468E9"/>
    <w:rsid w:val="59ED6194"/>
    <w:rsid w:val="5A4F26A4"/>
    <w:rsid w:val="5B395A82"/>
    <w:rsid w:val="5D24510E"/>
    <w:rsid w:val="5EC809F4"/>
    <w:rsid w:val="5F1818BF"/>
    <w:rsid w:val="5F2F1888"/>
    <w:rsid w:val="5F6A3B63"/>
    <w:rsid w:val="603F4A02"/>
    <w:rsid w:val="60C9031A"/>
    <w:rsid w:val="617943D0"/>
    <w:rsid w:val="61AB3DF6"/>
    <w:rsid w:val="62AC472E"/>
    <w:rsid w:val="64434207"/>
    <w:rsid w:val="644A5BFB"/>
    <w:rsid w:val="646E458C"/>
    <w:rsid w:val="64713D93"/>
    <w:rsid w:val="64C85426"/>
    <w:rsid w:val="64CF0321"/>
    <w:rsid w:val="660364FC"/>
    <w:rsid w:val="669453A6"/>
    <w:rsid w:val="66D04197"/>
    <w:rsid w:val="672804FC"/>
    <w:rsid w:val="67991669"/>
    <w:rsid w:val="67D57485"/>
    <w:rsid w:val="6A8D37D7"/>
    <w:rsid w:val="6BA36B5C"/>
    <w:rsid w:val="6C1F3525"/>
    <w:rsid w:val="6DC522E8"/>
    <w:rsid w:val="6EFD7139"/>
    <w:rsid w:val="70054579"/>
    <w:rsid w:val="708B4D5C"/>
    <w:rsid w:val="723A6707"/>
    <w:rsid w:val="72C377F4"/>
    <w:rsid w:val="73EA2176"/>
    <w:rsid w:val="759977E2"/>
    <w:rsid w:val="770F5F97"/>
    <w:rsid w:val="783069CA"/>
    <w:rsid w:val="785D02B4"/>
    <w:rsid w:val="79571800"/>
    <w:rsid w:val="7AA15452"/>
    <w:rsid w:val="7B5D7B47"/>
    <w:rsid w:val="7B8D1379"/>
    <w:rsid w:val="7CA547CE"/>
    <w:rsid w:val="7CCF152D"/>
    <w:rsid w:val="7EB951AA"/>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unhideWhenUsed/>
    <w:qFormat/>
    <w:uiPriority w:val="99"/>
  </w:style>
  <w:style w:type="paragraph" w:styleId="6">
    <w:name w:val="Plain Text"/>
    <w:basedOn w:val="1"/>
    <w:qFormat/>
    <w:uiPriority w:val="0"/>
    <w:rPr>
      <w:rFonts w:ascii="宋体" w:hAnsi="Courier New"/>
    </w:rPr>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line="180" w:lineRule="auto"/>
      <w:jc w:val="center"/>
    </w:pPr>
    <w:rPr>
      <w:sz w:val="3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12"/>
    <w:link w:val="10"/>
    <w:qFormat/>
    <w:uiPriority w:val="99"/>
    <w:rPr>
      <w:sz w:val="18"/>
      <w:szCs w:val="18"/>
    </w:rPr>
  </w:style>
  <w:style w:type="character" w:customStyle="1" w:styleId="16">
    <w:name w:val="页脚 Char"/>
    <w:basedOn w:val="12"/>
    <w:link w:val="9"/>
    <w:qFormat/>
    <w:uiPriority w:val="99"/>
    <w:rPr>
      <w:sz w:val="18"/>
      <w:szCs w:val="18"/>
    </w:rPr>
  </w:style>
  <w:style w:type="paragraph" w:customStyle="1" w:styleId="1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2024-06-25T10:02:24Z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