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外周血管介入治疗类医用耗材常规采购需求文件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重庆市第四人民医院本着公平、公正、公开、诚信的原则，拟对医院</w:t>
      </w:r>
      <w:r>
        <w:rPr>
          <w:rFonts w:hint="eastAsia" w:ascii="方正仿宋_GBK" w:hAnsi="方正仿宋_GBK" w:eastAsia="方正仿宋_GBK" w:cs="方正仿宋_GBK"/>
          <w:color w:val="000000"/>
          <w:sz w:val="24"/>
          <w:szCs w:val="24"/>
          <w:lang w:val="en-US" w:eastAsia="zh-CN"/>
        </w:rPr>
        <w:t>外周血管介入治疗类医用耗材常规采购项目</w:t>
      </w:r>
      <w:r>
        <w:rPr>
          <w:rFonts w:hint="eastAsia" w:ascii="方正仿宋_GBK" w:hAnsi="方正仿宋_GBK" w:eastAsia="方正仿宋_GBK" w:cs="方正仿宋_GBK"/>
          <w:color w:val="000000"/>
          <w:sz w:val="24"/>
          <w:szCs w:val="24"/>
        </w:rPr>
        <w:t>进行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bookmarkEnd w:id="1"/>
      <w:bookmarkEnd w:id="2"/>
    </w:p>
    <w:tbl>
      <w:tblPr>
        <w:tblStyle w:val="12"/>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273"/>
        <w:gridCol w:w="2452"/>
        <w:gridCol w:w="184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包号</w:t>
            </w:r>
          </w:p>
        </w:tc>
        <w:tc>
          <w:tcPr>
            <w:tcW w:w="4725" w:type="dxa"/>
            <w:gridSpan w:val="2"/>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医用耗材分类</w:t>
            </w:r>
          </w:p>
        </w:tc>
        <w:tc>
          <w:tcPr>
            <w:tcW w:w="1845"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1957"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p>
        </w:tc>
        <w:tc>
          <w:tcPr>
            <w:tcW w:w="2273"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一级分类</w:t>
            </w:r>
          </w:p>
        </w:tc>
        <w:tc>
          <w:tcPr>
            <w:tcW w:w="2452"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二级分类</w:t>
            </w:r>
          </w:p>
        </w:tc>
        <w:tc>
          <w:tcPr>
            <w:tcW w:w="1845"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1957"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c>
          <w:tcPr>
            <w:tcW w:w="2273"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02-血管介入治疗类材料</w:t>
            </w:r>
          </w:p>
        </w:tc>
        <w:tc>
          <w:tcPr>
            <w:tcW w:w="2452"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06-外周血管介入</w:t>
            </w:r>
          </w:p>
        </w:tc>
        <w:tc>
          <w:tcPr>
            <w:tcW w:w="1845"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医学装备科</w:t>
            </w:r>
          </w:p>
        </w:tc>
        <w:tc>
          <w:tcPr>
            <w:tcW w:w="1957" w:type="dxa"/>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集采耗材除外。供应商所投产品规格应尽可能的齐全。</w:t>
            </w: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 w:name="_Toc7024"/>
      <w:bookmarkStart w:id="4" w:name="_Toc373860293"/>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30975"/>
      <w:bookmarkStart w:id="6" w:name="_Toc530045187"/>
      <w:bookmarkStart w:id="7" w:name="_Toc24964"/>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须具有所投标产品有效期内的《中华人民共和国医疗器械注册证》，若注册证有附件的，还须提供附件《医疗器械产品注册登记表》；</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3.须具备有效期内《医疗器械经营企业许可证》或《医疗器械经营许可证》</w:t>
      </w:r>
      <w:r>
        <w:rPr>
          <w:rFonts w:hint="eastAsia" w:ascii="方正仿宋_GBK" w:hAnsi="方正仿宋_GBK" w:eastAsia="方正仿宋_GBK" w:cs="方正仿宋_GBK"/>
          <w:color w:val="000000"/>
          <w:sz w:val="24"/>
          <w:szCs w:val="24"/>
          <w:lang w:eastAsia="zh-CN"/>
        </w:rPr>
        <w:t>；</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17509"/>
      <w:bookmarkStart w:id="9" w:name="_Toc3976"/>
      <w:bookmarkStart w:id="10" w:name="_Toc1965"/>
      <w:bookmarkStart w:id="11" w:name="_Toc21930"/>
      <w:bookmarkStart w:id="12" w:name="_Toc6178"/>
      <w:bookmarkStart w:id="13" w:name="_Toc26564"/>
      <w:bookmarkStart w:id="14" w:name="_Toc9401"/>
      <w:bookmarkStart w:id="15" w:name="_Toc22548773"/>
      <w:bookmarkStart w:id="16" w:name="_Toc11412"/>
      <w:bookmarkStart w:id="17" w:name="_Toc3374"/>
      <w:r>
        <w:rPr>
          <w:rFonts w:hint="eastAsia" w:ascii="方正仿宋_GBK" w:hAnsi="方正仿宋_GBK" w:eastAsia="方正仿宋_GBK" w:cs="方正仿宋_GBK"/>
          <w:color w:val="000000"/>
          <w:sz w:val="24"/>
          <w:szCs w:val="24"/>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供应商必须是重庆药交所注册会员，产品应当是重庆药交所注册产品（暂未注册的必须提交注册承诺书及其他证明材料）。</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（四）承诺中选产品通过医院SPD系统配送，费用由成交供应商与SPD服务商双方协商。</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下载本项目采购要求等谈判前公布的所有项目资料，无论供应商下载与否，均视为已知晓所有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17</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（三）响应文件递交截止时间：202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22</w:t>
      </w:r>
      <w:r>
        <w:rPr>
          <w:rFonts w:hint="eastAsia" w:ascii="方正仿宋_GBK" w:hAnsi="方正仿宋_GBK" w:eastAsia="方正仿宋_GBK" w:cs="方正仿宋_GBK"/>
          <w:color w:val="000000"/>
          <w:sz w:val="24"/>
          <w:szCs w:val="24"/>
        </w:rPr>
        <w:t>日17点</w:t>
      </w:r>
      <w:r>
        <w:rPr>
          <w:rFonts w:hint="eastAsia" w:ascii="方正仿宋_GBK" w:hAnsi="方正仿宋_GBK" w:eastAsia="方正仿宋_GBK" w:cs="方正仿宋_GBK"/>
          <w:color w:val="000000"/>
          <w:sz w:val="24"/>
          <w:szCs w:val="24"/>
          <w:lang w:eastAsia="zh-CN"/>
        </w:rPr>
        <w:t>。</w:t>
      </w:r>
      <w:bookmarkStart w:id="53" w:name="_GoBack"/>
      <w:bookmarkEnd w:id="53"/>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31810"/>
      <w:bookmarkStart w:id="19" w:name="_Toc22978"/>
      <w:bookmarkStart w:id="20" w:name="_Toc31639"/>
      <w:bookmarkStart w:id="21" w:name="_Toc21862"/>
      <w:bookmarkStart w:id="22" w:name="_Toc517367960"/>
      <w:bookmarkStart w:id="23" w:name="_Toc8132"/>
      <w:bookmarkStart w:id="24" w:name="_Toc6933"/>
      <w:bookmarkStart w:id="25" w:name="_Toc13490"/>
      <w:bookmarkStart w:id="26" w:name="_Toc517368027"/>
      <w:bookmarkStart w:id="27" w:name="_Toc527828387"/>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（二）</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响应文件一式两份，其中正、副本各一份（注：封面应注明项目名称、供应商名称、联系人及电话，不需密封）；纸质报价和电子版报价各一份（纸质报价需密封，报价格式详见附件2）。</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2.实际配送的货物必须与遴选时提供的样品一致，不能以次充好或提供假冒伪劣产品，否则本单位有权单方中止其供货并追究相关法律责任。</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517367961"/>
      <w:bookmarkStart w:id="30" w:name="_Toc2188"/>
      <w:bookmarkStart w:id="31" w:name="_Toc517368028"/>
      <w:bookmarkStart w:id="32" w:name="_Toc15317"/>
      <w:bookmarkStart w:id="33" w:name="_Toc1495"/>
      <w:bookmarkStart w:id="34" w:name="_Toc20734"/>
      <w:bookmarkStart w:id="35" w:name="_Toc527828388"/>
      <w:bookmarkStart w:id="36" w:name="_Toc24167"/>
      <w:bookmarkStart w:id="37" w:name="_Toc24060"/>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本项目不接受联合体参与谈判。</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keepNext/>
        <w:keepLines/>
        <w:spacing w:line="480" w:lineRule="exact"/>
        <w:ind w:firstLine="480" w:firstLineChars="200"/>
      </w:pPr>
      <w:r>
        <w:rPr>
          <w:rFonts w:hint="eastAsia" w:ascii="方正仿宋_GBK" w:hAnsi="方正仿宋_GBK" w:eastAsia="方正仿宋_GBK" w:cs="方正仿宋_GBK"/>
          <w:color w:val="000000"/>
          <w:sz w:val="24"/>
          <w:szCs w:val="24"/>
        </w:rPr>
        <w:br w:type="page"/>
      </w:r>
    </w:p>
    <w:p>
      <w:pPr>
        <w:pStyle w:val="6"/>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6"/>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6"/>
        <w:jc w:val="center"/>
        <w:rPr>
          <w:rFonts w:hint="eastAsia" w:ascii="方正仿宋_GBK" w:hAnsi="方正仿宋_GBK" w:eastAsia="方正仿宋_GBK" w:cs="方正仿宋_GBK"/>
          <w:b/>
          <w:bCs/>
          <w:sz w:val="28"/>
          <w:szCs w:val="32"/>
          <w:lang w:val="en-US" w:eastAsia="zh-CN"/>
        </w:rPr>
      </w:pPr>
    </w:p>
    <w:p>
      <w:pPr>
        <w:pStyle w:val="6"/>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4.我方完全理解和接受贵方谈判文件的一切规定和要求及</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p>
    <w:p>
      <w:pPr>
        <w:snapToGrid w:val="0"/>
        <w:spacing w:line="500" w:lineRule="exact"/>
        <w:ind w:firstLine="1200" w:firstLineChars="500"/>
        <w:rPr>
          <w:rFonts w:hint="default" w:ascii="方正仿宋_GBK" w:hAnsi="宋体" w:eastAsia="方正仿宋_GBK"/>
          <w:sz w:val="24"/>
          <w:szCs w:val="28"/>
          <w:lang w:val="en-US" w:eastAsia="zh-CN"/>
        </w:rPr>
      </w:pPr>
      <w:r>
        <w:rPr>
          <w:rFonts w:hint="eastAsia" w:ascii="方正仿宋_GBK" w:hAnsi="宋体" w:eastAsia="方正仿宋_GBK"/>
          <w:sz w:val="24"/>
          <w:szCs w:val="28"/>
          <w:lang w:val="en-US" w:eastAsia="zh-CN"/>
        </w:rPr>
        <w:t>表格格式详见附件2</w:t>
      </w:r>
    </w:p>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2"/>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p>
    <w:p>
      <w:pPr>
        <w:spacing w:line="360" w:lineRule="auto"/>
        <w:ind w:right="480" w:firstLine="6480" w:firstLineChars="2700"/>
        <w:rPr>
          <w:rFonts w:hint="eastAsia" w:ascii="方正仿宋_GBK" w:hAnsi="宋体" w:eastAsia="方正仿宋_GBK"/>
          <w:sz w:val="24"/>
          <w:szCs w:val="24"/>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9" w:name="_Toc313888362"/>
      <w:bookmarkStart w:id="40" w:name="_Toc313008358"/>
      <w:bookmarkStart w:id="41" w:name="_Toc342913421"/>
      <w:bookmarkStart w:id="42" w:name="_Toc65660382"/>
      <w:bookmarkStart w:id="43" w:name="_Toc106034662"/>
      <w:bookmarkStart w:id="44" w:name="_Toc2082"/>
      <w:bookmarkStart w:id="45" w:name="_Toc20162"/>
      <w:r>
        <w:rPr>
          <w:rFonts w:hint="eastAsia" w:ascii="方正仿宋_GBK" w:hAnsi="宋体" w:eastAsia="方正仿宋_GBK"/>
          <w:sz w:val="24"/>
          <w:lang w:val="en-US" w:eastAsia="zh-CN"/>
        </w:rPr>
        <w:t>二</w:t>
      </w:r>
      <w:r>
        <w:rPr>
          <w:rFonts w:hint="eastAsia" w:ascii="方正仿宋_GBK" w:hAnsi="宋体" w:eastAsia="方正仿宋_GBK"/>
          <w:sz w:val="24"/>
        </w:rPr>
        <w:t>、</w:t>
      </w:r>
      <w:bookmarkEnd w:id="39"/>
      <w:bookmarkEnd w:id="40"/>
      <w:bookmarkEnd w:id="41"/>
      <w:r>
        <w:rPr>
          <w:rFonts w:hint="eastAsia" w:ascii="方正仿宋_GBK" w:hAnsi="宋体" w:eastAsia="方正仿宋_GBK"/>
          <w:sz w:val="24"/>
        </w:rPr>
        <w:t>资格条件及其他</w:t>
      </w:r>
      <w:bookmarkEnd w:id="42"/>
      <w:bookmarkEnd w:id="43"/>
      <w:bookmarkEnd w:id="44"/>
      <w:bookmarkEnd w:id="45"/>
      <w:bookmarkStart w:id="46" w:name="_Toc313008359"/>
      <w:bookmarkStart w:id="47" w:name="_Toc313888363"/>
      <w:bookmarkStart w:id="48" w:name="_Toc34291342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遴选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49" w:name="_Toc17010"/>
      <w:bookmarkStart w:id="50" w:name="_Toc106034663"/>
      <w:bookmarkStart w:id="51" w:name="_Toc65660383"/>
      <w:bookmarkStart w:id="52" w:name="_Toc2080"/>
      <w:r>
        <w:rPr>
          <w:rFonts w:hint="eastAsia" w:ascii="方正仿宋_GBK" w:hAnsi="宋体" w:eastAsia="方正仿宋_GBK"/>
          <w:sz w:val="24"/>
          <w:szCs w:val="24"/>
          <w:lang w:val="en-US" w:eastAsia="zh-CN"/>
        </w:rPr>
        <w:t>三</w:t>
      </w:r>
      <w:r>
        <w:rPr>
          <w:rFonts w:hint="eastAsia" w:ascii="方正仿宋_GBK" w:hAnsi="宋体" w:eastAsia="方正仿宋_GBK"/>
          <w:sz w:val="24"/>
        </w:rPr>
        <w:t>、</w:t>
      </w:r>
      <w:bookmarkEnd w:id="46"/>
      <w:bookmarkEnd w:id="47"/>
      <w:bookmarkEnd w:id="48"/>
      <w:r>
        <w:rPr>
          <w:rFonts w:hint="eastAsia" w:ascii="方正仿宋_GBK" w:hAnsi="宋体" w:eastAsia="方正仿宋_GBK"/>
          <w:sz w:val="24"/>
        </w:rPr>
        <w:t>其他资料</w:t>
      </w:r>
      <w:bookmarkEnd w:id="49"/>
      <w:bookmarkEnd w:id="50"/>
      <w:bookmarkEnd w:id="51"/>
      <w:bookmarkEnd w:id="52"/>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8"/>
        <w:numPr>
          <w:ilvl w:val="0"/>
          <w:numId w:val="3"/>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6"/>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E3B7A87E-7549-4734-BD59-7570740C4EEF}"/>
  </w:font>
  <w:font w:name="仿宋">
    <w:panose1 w:val="02010609060101010101"/>
    <w:charset w:val="86"/>
    <w:family w:val="modern"/>
    <w:pitch w:val="default"/>
    <w:sig w:usb0="800002BF" w:usb1="38CF7CFA" w:usb2="00000016" w:usb3="00000000" w:csb0="00040001" w:csb1="00000000"/>
    <w:embedRegular r:id="rId2" w:fontKey="{249D0613-67AB-4971-99C7-9DFFC32E136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abstractNum w:abstractNumId="2">
    <w:nsid w:val="6E407B3E"/>
    <w:multiLevelType w:val="singleLevel"/>
    <w:tmpl w:val="6E407B3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3FD66AC"/>
    <w:rsid w:val="05084823"/>
    <w:rsid w:val="055E66C3"/>
    <w:rsid w:val="08041D76"/>
    <w:rsid w:val="09655DC8"/>
    <w:rsid w:val="0A8C3C5A"/>
    <w:rsid w:val="0B145FD1"/>
    <w:rsid w:val="0B4E3BB1"/>
    <w:rsid w:val="0BE831F8"/>
    <w:rsid w:val="0DBD6915"/>
    <w:rsid w:val="0E653757"/>
    <w:rsid w:val="0ED07A7C"/>
    <w:rsid w:val="0EF324E5"/>
    <w:rsid w:val="0F545C32"/>
    <w:rsid w:val="0FC01DDD"/>
    <w:rsid w:val="10DC01C8"/>
    <w:rsid w:val="116503A8"/>
    <w:rsid w:val="12FB1E07"/>
    <w:rsid w:val="133F76F0"/>
    <w:rsid w:val="13704662"/>
    <w:rsid w:val="13814630"/>
    <w:rsid w:val="13DF3FC3"/>
    <w:rsid w:val="14A409DB"/>
    <w:rsid w:val="15625621"/>
    <w:rsid w:val="15F441A8"/>
    <w:rsid w:val="16A60816"/>
    <w:rsid w:val="17F26FAE"/>
    <w:rsid w:val="18687FAE"/>
    <w:rsid w:val="19804882"/>
    <w:rsid w:val="1AC856F5"/>
    <w:rsid w:val="1BD877D9"/>
    <w:rsid w:val="1D54216D"/>
    <w:rsid w:val="1E3356E8"/>
    <w:rsid w:val="1E44427C"/>
    <w:rsid w:val="1FD86743"/>
    <w:rsid w:val="201D7DBD"/>
    <w:rsid w:val="21546A66"/>
    <w:rsid w:val="21693711"/>
    <w:rsid w:val="226E4C36"/>
    <w:rsid w:val="23F95523"/>
    <w:rsid w:val="2437495C"/>
    <w:rsid w:val="26030B51"/>
    <w:rsid w:val="260852E0"/>
    <w:rsid w:val="2964780D"/>
    <w:rsid w:val="29CE6BF9"/>
    <w:rsid w:val="2AC57FFB"/>
    <w:rsid w:val="2AED7E1E"/>
    <w:rsid w:val="2C041E33"/>
    <w:rsid w:val="2C516D69"/>
    <w:rsid w:val="2CFD1F96"/>
    <w:rsid w:val="2D7524E6"/>
    <w:rsid w:val="2D783FB8"/>
    <w:rsid w:val="2E8928E3"/>
    <w:rsid w:val="305C705B"/>
    <w:rsid w:val="30BD408D"/>
    <w:rsid w:val="327114A6"/>
    <w:rsid w:val="34DF325D"/>
    <w:rsid w:val="356E302D"/>
    <w:rsid w:val="36825B67"/>
    <w:rsid w:val="39842583"/>
    <w:rsid w:val="3A07396B"/>
    <w:rsid w:val="3A183D49"/>
    <w:rsid w:val="3A3D3178"/>
    <w:rsid w:val="3A757783"/>
    <w:rsid w:val="3B82689F"/>
    <w:rsid w:val="3D0B21A9"/>
    <w:rsid w:val="3E752DC9"/>
    <w:rsid w:val="41A53F56"/>
    <w:rsid w:val="42134A4C"/>
    <w:rsid w:val="443474E0"/>
    <w:rsid w:val="44A168CC"/>
    <w:rsid w:val="44A8542F"/>
    <w:rsid w:val="4684760A"/>
    <w:rsid w:val="472E3198"/>
    <w:rsid w:val="49664A06"/>
    <w:rsid w:val="4B046ED0"/>
    <w:rsid w:val="4B9D04D7"/>
    <w:rsid w:val="4BA43FBA"/>
    <w:rsid w:val="4C29250E"/>
    <w:rsid w:val="4C582C53"/>
    <w:rsid w:val="4CD82061"/>
    <w:rsid w:val="4D433F84"/>
    <w:rsid w:val="4E7A2542"/>
    <w:rsid w:val="509D5C5F"/>
    <w:rsid w:val="50AA111F"/>
    <w:rsid w:val="51E01C21"/>
    <w:rsid w:val="52F56DBE"/>
    <w:rsid w:val="53400388"/>
    <w:rsid w:val="56210721"/>
    <w:rsid w:val="56B008F2"/>
    <w:rsid w:val="56E919B9"/>
    <w:rsid w:val="57CB0088"/>
    <w:rsid w:val="596468E9"/>
    <w:rsid w:val="59ED6194"/>
    <w:rsid w:val="5B395A82"/>
    <w:rsid w:val="5D24510E"/>
    <w:rsid w:val="5EC809F4"/>
    <w:rsid w:val="5F1818BF"/>
    <w:rsid w:val="5F6A3B63"/>
    <w:rsid w:val="603F4A02"/>
    <w:rsid w:val="61AB3DF6"/>
    <w:rsid w:val="62AC472E"/>
    <w:rsid w:val="64434207"/>
    <w:rsid w:val="644A5BFB"/>
    <w:rsid w:val="646E458C"/>
    <w:rsid w:val="64713D93"/>
    <w:rsid w:val="64C85426"/>
    <w:rsid w:val="64CF0321"/>
    <w:rsid w:val="660364FC"/>
    <w:rsid w:val="669453A6"/>
    <w:rsid w:val="66D04197"/>
    <w:rsid w:val="672804FC"/>
    <w:rsid w:val="67991669"/>
    <w:rsid w:val="6A8D37D7"/>
    <w:rsid w:val="6BA36B5C"/>
    <w:rsid w:val="6C1F3525"/>
    <w:rsid w:val="6DC522E8"/>
    <w:rsid w:val="6EFD7139"/>
    <w:rsid w:val="70054579"/>
    <w:rsid w:val="708B4D5C"/>
    <w:rsid w:val="723A6707"/>
    <w:rsid w:val="72C377F4"/>
    <w:rsid w:val="73EA2176"/>
    <w:rsid w:val="759977E2"/>
    <w:rsid w:val="770F5F97"/>
    <w:rsid w:val="785D02B4"/>
    <w:rsid w:val="7AA15452"/>
    <w:rsid w:val="7B5D7B47"/>
    <w:rsid w:val="7B8D1379"/>
    <w:rsid w:val="7CA547CE"/>
    <w:rsid w:val="7CCF152D"/>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line="180" w:lineRule="auto"/>
      <w:jc w:val="center"/>
    </w:pPr>
    <w:rPr>
      <w:sz w:val="30"/>
    </w:rPr>
  </w:style>
  <w:style w:type="paragraph" w:styleId="5">
    <w:name w:val="annotation text"/>
    <w:basedOn w:val="1"/>
    <w:unhideWhenUsed/>
    <w:qFormat/>
    <w:uiPriority w:val="99"/>
    <w:pPr>
      <w:jc w:val="left"/>
    </w:pPr>
  </w:style>
  <w:style w:type="paragraph" w:styleId="6">
    <w:name w:val="Body Text"/>
    <w:basedOn w:val="1"/>
    <w:unhideWhenUsed/>
    <w:qFormat/>
    <w:uiPriority w:val="99"/>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2024-04-12T09:27:06Z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