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医院复印服务常规采购需求文件</w:t>
      </w:r>
    </w:p>
    <w:p>
      <w:pPr>
        <w:spacing w:line="400" w:lineRule="exact"/>
        <w:jc w:val="center"/>
        <w:rPr>
          <w:rFonts w:hint="default" w:ascii="方正仿宋_GBK" w:hAnsi="方正仿宋_GBK" w:eastAsia="方正仿宋_GBK" w:cs="方正仿宋_GBK"/>
          <w:lang w:val="en-US" w:eastAsia="zh-CN"/>
        </w:rPr>
      </w:pPr>
      <w:bookmarkStart w:id="0" w:name="_GoBack"/>
      <w:r>
        <w:rPr>
          <w:rFonts w:hint="eastAsia" w:ascii="方正仿宋_GBK" w:hAnsi="方正仿宋_GBK" w:eastAsia="方正仿宋_GBK" w:cs="方正仿宋_GBK"/>
          <w:kern w:val="0"/>
          <w:sz w:val="18"/>
        </w:rPr>
        <w:t>发布时间：2023-12-</w:t>
      </w:r>
      <w:r>
        <w:rPr>
          <w:rFonts w:hint="eastAsia" w:ascii="方正仿宋_GBK" w:hAnsi="方正仿宋_GBK" w:eastAsia="方正仿宋_GBK" w:cs="方正仿宋_GBK"/>
          <w:kern w:val="0"/>
          <w:sz w:val="18"/>
          <w:lang w:val="en-US" w:eastAsia="zh-CN"/>
        </w:rPr>
        <w:t>25</w:t>
      </w:r>
    </w:p>
    <w:p>
      <w:pPr>
        <w:adjustRightInd w:val="0"/>
        <w:snapToGrid w:val="0"/>
        <w:spacing w:line="400" w:lineRule="exact"/>
        <w:ind w:firstLine="420" w:firstLineChars="200"/>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kern w:val="0"/>
          <w:szCs w:val="21"/>
        </w:rPr>
        <w:t>重庆市第四人民医院</w:t>
      </w:r>
      <w:r>
        <w:rPr>
          <w:rFonts w:hint="eastAsia" w:ascii="方正仿宋_GBK" w:hAnsi="方正仿宋_GBK" w:eastAsia="方正仿宋_GBK" w:cs="方正仿宋_GBK"/>
          <w:kern w:val="0"/>
          <w:szCs w:val="21"/>
          <w:lang w:val="en-US" w:eastAsia="zh-CN"/>
        </w:rPr>
        <w:t>曾对复印服务常规采购进行过需求公告</w:t>
      </w:r>
      <w:r>
        <w:rPr>
          <w:rFonts w:hint="eastAsia" w:ascii="方正仿宋_GBK" w:hAnsi="方正仿宋_GBK" w:eastAsia="方正仿宋_GBK" w:cs="方正仿宋_GBK"/>
          <w:kern w:val="0"/>
          <w:szCs w:val="21"/>
        </w:rPr>
        <w:t>，</w:t>
      </w:r>
      <w:r>
        <w:rPr>
          <w:rFonts w:hint="eastAsia" w:ascii="方正仿宋_GBK" w:hAnsi="方正仿宋_GBK" w:eastAsia="方正仿宋_GBK" w:cs="方正仿宋_GBK"/>
          <w:kern w:val="0"/>
          <w:szCs w:val="21"/>
          <w:lang w:val="en-US" w:eastAsia="zh-CN"/>
        </w:rPr>
        <w:t>但由于响应供应商不足三家，采购终止。</w:t>
      </w:r>
      <w:r>
        <w:rPr>
          <w:rFonts w:hint="eastAsia" w:ascii="方正仿宋_GBK" w:hAnsi="方正仿宋_GBK" w:eastAsia="方正仿宋_GBK" w:cs="方正仿宋_GBK"/>
          <w:kern w:val="0"/>
          <w:szCs w:val="21"/>
        </w:rPr>
        <w:t>现</w:t>
      </w:r>
      <w:r>
        <w:rPr>
          <w:rFonts w:hint="eastAsia" w:ascii="方正仿宋_GBK" w:hAnsi="方正仿宋_GBK" w:eastAsia="方正仿宋_GBK" w:cs="方正仿宋_GBK"/>
          <w:kern w:val="0"/>
          <w:szCs w:val="21"/>
          <w:lang w:val="en-US" w:eastAsia="zh-CN"/>
        </w:rPr>
        <w:t>再次</w:t>
      </w:r>
      <w:r>
        <w:rPr>
          <w:rFonts w:hint="eastAsia" w:ascii="方正仿宋_GBK" w:hAnsi="方正仿宋_GBK" w:eastAsia="方正仿宋_GBK" w:cs="方正仿宋_GBK"/>
          <w:kern w:val="0"/>
          <w:szCs w:val="21"/>
        </w:rPr>
        <w:t>诚邀具有合格资质和良好服务能力的供应商参与竞争。</w:t>
      </w:r>
    </w:p>
    <w:p>
      <w:pPr>
        <w:adjustRightInd w:val="0"/>
        <w:snapToGrid w:val="0"/>
        <w:spacing w:line="400" w:lineRule="exact"/>
        <w:rPr>
          <w:rFonts w:ascii="方正仿宋_GBK" w:hAnsi="方正仿宋_GBK" w:eastAsia="方正仿宋_GBK" w:cs="方正仿宋_GBK"/>
          <w:b/>
          <w:bCs/>
          <w:kern w:val="0"/>
          <w:szCs w:val="21"/>
        </w:rPr>
      </w:pPr>
      <w:r>
        <w:rPr>
          <w:rFonts w:hint="eastAsia" w:ascii="方正仿宋_GBK" w:hAnsi="方正仿宋_GBK" w:eastAsia="方正仿宋_GBK" w:cs="方正仿宋_GBK"/>
          <w:b/>
          <w:bCs/>
          <w:kern w:val="0"/>
          <w:szCs w:val="21"/>
        </w:rPr>
        <w:t>一、项目概述</w:t>
      </w:r>
    </w:p>
    <w:tbl>
      <w:tblPr>
        <w:tblStyle w:val="9"/>
        <w:tblW w:w="8149"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308"/>
        <w:gridCol w:w="2093"/>
        <w:gridCol w:w="990"/>
        <w:gridCol w:w="1043"/>
        <w:gridCol w:w="1545"/>
        <w:gridCol w:w="117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30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项目名称</w:t>
            </w:r>
          </w:p>
        </w:tc>
        <w:tc>
          <w:tcPr>
            <w:tcW w:w="2093"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项目内容</w:t>
            </w:r>
          </w:p>
        </w:tc>
        <w:tc>
          <w:tcPr>
            <w:tcW w:w="2033"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项目限价</w:t>
            </w:r>
          </w:p>
        </w:tc>
        <w:tc>
          <w:tcPr>
            <w:tcW w:w="1545"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计费方式</w:t>
            </w:r>
          </w:p>
        </w:tc>
        <w:tc>
          <w:tcPr>
            <w:tcW w:w="117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服务期限</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22" w:hRule="atLeast"/>
          <w:jc w:val="center"/>
        </w:trPr>
        <w:tc>
          <w:tcPr>
            <w:tcW w:w="1308" w:type="dxa"/>
            <w:vMerge w:val="restart"/>
            <w:tcBorders>
              <w:top w:val="outset" w:color="auto" w:sz="6" w:space="0"/>
              <w:left w:val="outset" w:color="auto" w:sz="6" w:space="0"/>
              <w:right w:val="outset" w:color="auto" w:sz="6" w:space="0"/>
            </w:tcBorders>
            <w:vAlign w:val="center"/>
          </w:tcPr>
          <w:p>
            <w:pPr>
              <w:widowControl/>
              <w:spacing w:before="100" w:beforeAutospacing="1" w:after="100" w:afterAutospacing="1" w:line="320" w:lineRule="exact"/>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医院复印服务常规采购</w:t>
            </w:r>
          </w:p>
        </w:tc>
        <w:tc>
          <w:tcPr>
            <w:tcW w:w="2093" w:type="dxa"/>
            <w:vMerge w:val="restart"/>
            <w:tcBorders>
              <w:top w:val="outset" w:color="auto" w:sz="6" w:space="0"/>
              <w:left w:val="outset" w:color="auto" w:sz="6" w:space="0"/>
              <w:right w:val="outset" w:color="auto" w:sz="6" w:space="0"/>
            </w:tcBorders>
            <w:vAlign w:val="center"/>
          </w:tcPr>
          <w:p>
            <w:pPr>
              <w:widowControl/>
              <w:jc w:val="left"/>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1.按照医院需求提供全新复印设备及管控软件；</w:t>
            </w:r>
          </w:p>
          <w:p>
            <w:pPr>
              <w:widowControl/>
              <w:jc w:val="left"/>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2.提供复印设备的维护保养全保服务。</w:t>
            </w:r>
          </w:p>
        </w:tc>
        <w:tc>
          <w:tcPr>
            <w:tcW w:w="99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黑白A4</w:t>
            </w:r>
          </w:p>
        </w:tc>
        <w:tc>
          <w:tcPr>
            <w:tcW w:w="1043"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0.1元/张</w:t>
            </w:r>
          </w:p>
        </w:tc>
        <w:tc>
          <w:tcPr>
            <w:tcW w:w="1545" w:type="dxa"/>
            <w:vMerge w:val="restart"/>
            <w:tcBorders>
              <w:top w:val="outset" w:color="auto" w:sz="6" w:space="0"/>
              <w:left w:val="outset" w:color="auto" w:sz="6" w:space="0"/>
              <w:right w:val="outset" w:color="auto" w:sz="6" w:space="0"/>
            </w:tcBorders>
            <w:vAlign w:val="center"/>
          </w:tcPr>
          <w:p>
            <w:pPr>
              <w:widowControl/>
              <w:spacing w:before="100" w:beforeAutospacing="1" w:after="100" w:afterAutospacing="1" w:line="320" w:lineRule="exact"/>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实际印量*相应单张价格</w:t>
            </w:r>
          </w:p>
        </w:tc>
        <w:tc>
          <w:tcPr>
            <w:tcW w:w="1170" w:type="dxa"/>
            <w:vMerge w:val="restart"/>
            <w:tcBorders>
              <w:top w:val="outset" w:color="auto" w:sz="6" w:space="0"/>
              <w:left w:val="outset" w:color="auto" w:sz="6" w:space="0"/>
              <w:right w:val="outset" w:color="auto" w:sz="6" w:space="0"/>
            </w:tcBorders>
            <w:vAlign w:val="center"/>
          </w:tcPr>
          <w:p>
            <w:pPr>
              <w:widowControl/>
              <w:spacing w:before="100" w:beforeAutospacing="1" w:after="100" w:afterAutospacing="1" w:line="320" w:lineRule="exact"/>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三年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33" w:hRule="atLeast"/>
          <w:jc w:val="center"/>
        </w:trPr>
        <w:tc>
          <w:tcPr>
            <w:tcW w:w="1308" w:type="dxa"/>
            <w:vMerge w:val="continue"/>
            <w:tcBorders>
              <w:left w:val="outset" w:color="auto" w:sz="6" w:space="0"/>
              <w:bottom w:val="outset" w:color="auto" w:sz="6" w:space="0"/>
              <w:right w:val="outset" w:color="auto" w:sz="6" w:space="0"/>
            </w:tcBorders>
            <w:vAlign w:val="center"/>
          </w:tcPr>
          <w:p>
            <w:pPr>
              <w:widowControl/>
              <w:spacing w:before="100" w:beforeAutospacing="1" w:after="100" w:afterAutospacing="1" w:line="320" w:lineRule="exact"/>
              <w:jc w:val="center"/>
              <w:rPr>
                <w:rFonts w:ascii="方正仿宋_GBK" w:hAnsi="方正仿宋_GBK" w:eastAsia="方正仿宋_GBK" w:cs="方正仿宋_GBK"/>
                <w:kern w:val="0"/>
                <w:szCs w:val="21"/>
              </w:rPr>
            </w:pPr>
          </w:p>
        </w:tc>
        <w:tc>
          <w:tcPr>
            <w:tcW w:w="2093" w:type="dxa"/>
            <w:vMerge w:val="continue"/>
            <w:tcBorders>
              <w:left w:val="outset" w:color="auto" w:sz="6" w:space="0"/>
              <w:right w:val="outset" w:color="auto" w:sz="6" w:space="0"/>
            </w:tcBorders>
            <w:vAlign w:val="center"/>
          </w:tcPr>
          <w:p>
            <w:pPr>
              <w:widowControl/>
              <w:spacing w:before="100" w:beforeAutospacing="1" w:after="100" w:afterAutospacing="1" w:line="320" w:lineRule="exact"/>
              <w:jc w:val="center"/>
              <w:rPr>
                <w:rFonts w:ascii="方正仿宋_GBK" w:hAnsi="方正仿宋_GBK" w:eastAsia="方正仿宋_GBK" w:cs="方正仿宋_GBK"/>
                <w:kern w:val="0"/>
                <w:szCs w:val="21"/>
              </w:rPr>
            </w:pPr>
          </w:p>
        </w:tc>
        <w:tc>
          <w:tcPr>
            <w:tcW w:w="990" w:type="dxa"/>
            <w:tcBorders>
              <w:top w:val="outset" w:color="auto" w:sz="6" w:space="0"/>
              <w:left w:val="outset" w:color="auto" w:sz="6" w:space="0"/>
              <w:right w:val="outset" w:color="auto" w:sz="6" w:space="0"/>
            </w:tcBorders>
            <w:vAlign w:val="center"/>
          </w:tcPr>
          <w:p>
            <w:pPr>
              <w:widowControl/>
              <w:spacing w:before="100" w:beforeAutospacing="1" w:after="100" w:afterAutospacing="1" w:line="320" w:lineRule="exact"/>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彩色A4</w:t>
            </w:r>
          </w:p>
        </w:tc>
        <w:tc>
          <w:tcPr>
            <w:tcW w:w="1043" w:type="dxa"/>
            <w:tcBorders>
              <w:top w:val="outset" w:color="auto" w:sz="6" w:space="0"/>
              <w:left w:val="outset" w:color="auto" w:sz="6" w:space="0"/>
              <w:right w:val="outset" w:color="auto" w:sz="6" w:space="0"/>
            </w:tcBorders>
            <w:vAlign w:val="center"/>
          </w:tcPr>
          <w:p>
            <w:pPr>
              <w:widowControl/>
              <w:spacing w:before="100" w:beforeAutospacing="1" w:after="100" w:afterAutospacing="1" w:line="320" w:lineRule="exact"/>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0.7元/张</w:t>
            </w:r>
          </w:p>
        </w:tc>
        <w:tc>
          <w:tcPr>
            <w:tcW w:w="1545" w:type="dxa"/>
            <w:vMerge w:val="continue"/>
            <w:tcBorders>
              <w:left w:val="outset" w:color="auto" w:sz="6" w:space="0"/>
              <w:right w:val="outset" w:color="auto" w:sz="6" w:space="0"/>
            </w:tcBorders>
            <w:vAlign w:val="center"/>
          </w:tcPr>
          <w:p>
            <w:pPr>
              <w:widowControl/>
              <w:spacing w:before="100" w:beforeAutospacing="1" w:after="100" w:afterAutospacing="1" w:line="320" w:lineRule="exact"/>
              <w:jc w:val="left"/>
              <w:rPr>
                <w:rFonts w:ascii="方正仿宋_GBK" w:hAnsi="方正仿宋_GBK" w:eastAsia="方正仿宋_GBK" w:cs="方正仿宋_GBK"/>
                <w:kern w:val="0"/>
                <w:szCs w:val="21"/>
              </w:rPr>
            </w:pPr>
          </w:p>
        </w:tc>
        <w:tc>
          <w:tcPr>
            <w:tcW w:w="1170" w:type="dxa"/>
            <w:vMerge w:val="continue"/>
            <w:tcBorders>
              <w:left w:val="outset" w:color="auto" w:sz="6" w:space="0"/>
              <w:right w:val="outset" w:color="auto" w:sz="6" w:space="0"/>
            </w:tcBorders>
            <w:vAlign w:val="center"/>
          </w:tcPr>
          <w:p>
            <w:pPr>
              <w:widowControl/>
              <w:spacing w:before="100" w:beforeAutospacing="1" w:after="100" w:afterAutospacing="1" w:line="320" w:lineRule="exact"/>
              <w:jc w:val="left"/>
              <w:rPr>
                <w:rFonts w:ascii="方正仿宋_GBK" w:hAnsi="方正仿宋_GBK" w:eastAsia="方正仿宋_GBK" w:cs="方正仿宋_GBK"/>
                <w:kern w:val="0"/>
                <w:szCs w:val="21"/>
              </w:rPr>
            </w:pPr>
          </w:p>
        </w:tc>
      </w:tr>
    </w:tbl>
    <w:p>
      <w:pPr>
        <w:numPr>
          <w:ilvl w:val="0"/>
          <w:numId w:val="1"/>
        </w:numPr>
        <w:adjustRightInd w:val="0"/>
        <w:snapToGrid w:val="0"/>
        <w:spacing w:line="400" w:lineRule="exact"/>
        <w:rPr>
          <w:rFonts w:ascii="方正仿宋_GBK" w:hAnsi="方正仿宋_GBK" w:eastAsia="方正仿宋_GBK" w:cs="方正仿宋_GBK"/>
          <w:b/>
          <w:bCs/>
          <w:kern w:val="0"/>
          <w:szCs w:val="21"/>
        </w:rPr>
      </w:pPr>
      <w:r>
        <w:rPr>
          <w:rFonts w:hint="eastAsia" w:ascii="方正仿宋_GBK" w:hAnsi="方正仿宋_GBK" w:eastAsia="方正仿宋_GBK" w:cs="方正仿宋_GBK"/>
          <w:b/>
          <w:bCs/>
          <w:kern w:val="0"/>
          <w:szCs w:val="21"/>
        </w:rPr>
        <w:t xml:space="preserve">技术要求 </w:t>
      </w:r>
    </w:p>
    <w:p>
      <w:pPr>
        <w:adjustRightInd w:val="0"/>
        <w:snapToGrid w:val="0"/>
        <w:spacing w:line="400" w:lineRule="exact"/>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2.1 复印设备技术要求</w:t>
      </w:r>
    </w:p>
    <w:p>
      <w:pPr>
        <w:adjustRightInd w:val="0"/>
        <w:snapToGrid w:val="0"/>
        <w:spacing w:line="400" w:lineRule="exact"/>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2.1.1 涵盖功能自动双面进稿/自动双面复印/网络打印/扫描；</w:t>
      </w:r>
    </w:p>
    <w:p>
      <w:pPr>
        <w:adjustRightInd w:val="0"/>
        <w:snapToGrid w:val="0"/>
        <w:spacing w:line="400" w:lineRule="exact"/>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2.1.2 速度≥25页/分钟(黑白彩色同速)；</w:t>
      </w:r>
    </w:p>
    <w:p>
      <w:pPr>
        <w:adjustRightInd w:val="0"/>
        <w:snapToGrid w:val="0"/>
        <w:spacing w:line="400" w:lineRule="exact"/>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2.1.3 复印尺寸A3</w:t>
      </w:r>
      <w:r>
        <w:rPr>
          <w:rFonts w:ascii="方正仿宋_GBK" w:hAnsi="方正仿宋_GBK" w:eastAsia="方正仿宋_GBK" w:cs="方正仿宋_GBK"/>
          <w:kern w:val="0"/>
          <w:szCs w:val="21"/>
        </w:rPr>
        <w:t>-</w:t>
      </w:r>
      <w:r>
        <w:rPr>
          <w:rFonts w:hint="eastAsia" w:ascii="方正仿宋_GBK" w:hAnsi="方正仿宋_GBK" w:eastAsia="方正仿宋_GBK" w:cs="方正仿宋_GBK"/>
          <w:kern w:val="0"/>
          <w:szCs w:val="21"/>
        </w:rPr>
        <w:t>--A6；</w:t>
      </w:r>
    </w:p>
    <w:p>
      <w:pPr>
        <w:adjustRightInd w:val="0"/>
        <w:snapToGrid w:val="0"/>
        <w:spacing w:line="400" w:lineRule="exact"/>
        <w:rPr>
          <w:rFonts w:ascii="方正仿宋_GBK" w:hAnsi="方正仿宋_GBK" w:eastAsia="方正仿宋_GBK" w:cs="方正仿宋_GBK"/>
          <w:kern w:val="0"/>
          <w:szCs w:val="21"/>
          <w:highlight w:val="none"/>
        </w:rPr>
      </w:pPr>
      <w:r>
        <w:rPr>
          <w:rFonts w:hint="eastAsia" w:ascii="方正仿宋_GBK" w:hAnsi="方正仿宋_GBK" w:eastAsia="方正仿宋_GBK" w:cs="方正仿宋_GBK"/>
          <w:kern w:val="0"/>
          <w:szCs w:val="21"/>
          <w:highlight w:val="none"/>
        </w:rPr>
        <w:t>2.1.4 最大分辨率≥1</w:t>
      </w:r>
      <w:r>
        <w:rPr>
          <w:rFonts w:ascii="方正仿宋_GBK" w:hAnsi="方正仿宋_GBK" w:eastAsia="方正仿宋_GBK" w:cs="方正仿宋_GBK"/>
          <w:kern w:val="0"/>
          <w:szCs w:val="21"/>
          <w:highlight w:val="none"/>
        </w:rPr>
        <w:t>8</w:t>
      </w:r>
      <w:r>
        <w:rPr>
          <w:rFonts w:hint="eastAsia" w:ascii="方正仿宋_GBK" w:hAnsi="方正仿宋_GBK" w:eastAsia="方正仿宋_GBK" w:cs="方正仿宋_GBK"/>
          <w:kern w:val="0"/>
          <w:szCs w:val="21"/>
          <w:highlight w:val="none"/>
        </w:rPr>
        <w:t>00×1200dpi；</w:t>
      </w:r>
    </w:p>
    <w:p>
      <w:pPr>
        <w:adjustRightInd w:val="0"/>
        <w:snapToGrid w:val="0"/>
        <w:spacing w:line="400" w:lineRule="exact"/>
        <w:rPr>
          <w:rFonts w:ascii="方正仿宋_GBK" w:hAnsi="方正仿宋_GBK" w:eastAsia="方正仿宋_GBK" w:cs="方正仿宋_GBK"/>
          <w:kern w:val="0"/>
          <w:szCs w:val="21"/>
          <w:highlight w:val="none"/>
        </w:rPr>
      </w:pPr>
      <w:r>
        <w:rPr>
          <w:rFonts w:hint="eastAsia" w:ascii="方正仿宋_GBK" w:hAnsi="方正仿宋_GBK" w:eastAsia="方正仿宋_GBK" w:cs="方正仿宋_GBK"/>
          <w:kern w:val="0"/>
          <w:szCs w:val="21"/>
          <w:highlight w:val="none"/>
        </w:rPr>
        <w:t>2.1.5 首页复印时间≤ 黑白5.1秒，彩色7.4秒；</w:t>
      </w:r>
    </w:p>
    <w:p>
      <w:pPr>
        <w:adjustRightInd w:val="0"/>
        <w:snapToGrid w:val="0"/>
        <w:spacing w:line="400" w:lineRule="exact"/>
        <w:rPr>
          <w:rFonts w:ascii="方正仿宋_GBK" w:hAnsi="方正仿宋_GBK" w:eastAsia="方正仿宋_GBK" w:cs="方正仿宋_GBK"/>
          <w:kern w:val="0"/>
          <w:szCs w:val="21"/>
          <w:highlight w:val="none"/>
        </w:rPr>
      </w:pPr>
      <w:r>
        <w:rPr>
          <w:rFonts w:hint="eastAsia" w:ascii="方正仿宋_GBK" w:hAnsi="方正仿宋_GBK" w:eastAsia="方正仿宋_GBK" w:cs="方正仿宋_GBK"/>
          <w:kern w:val="0"/>
          <w:szCs w:val="21"/>
          <w:highlight w:val="none"/>
        </w:rPr>
        <w:t>2.1.6 扫描速度≥</w:t>
      </w:r>
      <w:r>
        <w:rPr>
          <w:rFonts w:ascii="方正仿宋_GBK" w:hAnsi="方正仿宋_GBK" w:eastAsia="方正仿宋_GBK" w:cs="方正仿宋_GBK"/>
          <w:kern w:val="0"/>
          <w:szCs w:val="21"/>
          <w:highlight w:val="none"/>
        </w:rPr>
        <w:t>8</w:t>
      </w:r>
      <w:r>
        <w:rPr>
          <w:rFonts w:hint="eastAsia" w:ascii="方正仿宋_GBK" w:hAnsi="方正仿宋_GBK" w:eastAsia="方正仿宋_GBK" w:cs="方正仿宋_GBK"/>
          <w:kern w:val="0"/>
          <w:szCs w:val="21"/>
          <w:highlight w:val="none"/>
        </w:rPr>
        <w:t>0ppm；</w:t>
      </w:r>
    </w:p>
    <w:p>
      <w:pPr>
        <w:adjustRightInd w:val="0"/>
        <w:snapToGrid w:val="0"/>
        <w:spacing w:line="400" w:lineRule="exact"/>
        <w:rPr>
          <w:rFonts w:ascii="方正仿宋_GBK" w:hAnsi="方正仿宋_GBK" w:eastAsia="方正仿宋_GBK" w:cs="方正仿宋_GBK"/>
          <w:kern w:val="0"/>
          <w:szCs w:val="21"/>
          <w:highlight w:val="none"/>
        </w:rPr>
      </w:pPr>
      <w:r>
        <w:rPr>
          <w:rFonts w:hint="eastAsia" w:ascii="方正仿宋_GBK" w:hAnsi="方正仿宋_GBK" w:eastAsia="方正仿宋_GBK" w:cs="方正仿宋_GBK"/>
          <w:kern w:val="0"/>
          <w:szCs w:val="21"/>
          <w:highlight w:val="none"/>
        </w:rPr>
        <w:t>2.1.7 扫描分辨率最大：</w:t>
      </w:r>
      <w:r>
        <w:rPr>
          <w:rFonts w:ascii="方正仿宋_GBK" w:hAnsi="方正仿宋_GBK" w:eastAsia="方正仿宋_GBK" w:cs="方正仿宋_GBK"/>
          <w:kern w:val="0"/>
          <w:szCs w:val="21"/>
          <w:highlight w:val="none"/>
        </w:rPr>
        <w:t>600</w:t>
      </w:r>
      <w:r>
        <w:rPr>
          <w:rFonts w:hint="eastAsia" w:ascii="方正仿宋_GBK" w:hAnsi="方正仿宋_GBK" w:eastAsia="方正仿宋_GBK" w:cs="方正仿宋_GBK"/>
          <w:kern w:val="0"/>
          <w:szCs w:val="21"/>
          <w:highlight w:val="none"/>
        </w:rPr>
        <w:t>*</w:t>
      </w:r>
      <w:r>
        <w:rPr>
          <w:rFonts w:ascii="方正仿宋_GBK" w:hAnsi="方正仿宋_GBK" w:eastAsia="方正仿宋_GBK" w:cs="方正仿宋_GBK"/>
          <w:kern w:val="0"/>
          <w:szCs w:val="21"/>
          <w:highlight w:val="none"/>
        </w:rPr>
        <w:t>6</w:t>
      </w:r>
      <w:r>
        <w:rPr>
          <w:rFonts w:hint="eastAsia" w:ascii="方正仿宋_GBK" w:hAnsi="方正仿宋_GBK" w:eastAsia="方正仿宋_GBK" w:cs="方正仿宋_GBK"/>
          <w:kern w:val="0"/>
          <w:szCs w:val="21"/>
          <w:highlight w:val="none"/>
        </w:rPr>
        <w:t>00dpi；</w:t>
      </w:r>
      <w:r>
        <w:rPr>
          <w:rFonts w:hint="eastAsia" w:ascii="方正仿宋_GBK" w:hAnsi="方正仿宋_GBK" w:eastAsia="方正仿宋_GBK" w:cs="方正仿宋_GBK"/>
          <w:kern w:val="0"/>
          <w:szCs w:val="21"/>
          <w:highlight w:val="none"/>
        </w:rPr>
        <w:tab/>
      </w:r>
    </w:p>
    <w:p>
      <w:pPr>
        <w:adjustRightInd w:val="0"/>
        <w:snapToGrid w:val="0"/>
        <w:spacing w:line="400" w:lineRule="exact"/>
        <w:rPr>
          <w:rFonts w:ascii="方正仿宋_GBK" w:hAnsi="方正仿宋_GBK" w:eastAsia="方正仿宋_GBK" w:cs="方正仿宋_GBK"/>
          <w:kern w:val="0"/>
          <w:szCs w:val="21"/>
          <w:highlight w:val="none"/>
        </w:rPr>
      </w:pPr>
      <w:r>
        <w:rPr>
          <w:rFonts w:hint="eastAsia" w:ascii="方正仿宋_GBK" w:hAnsi="方正仿宋_GBK" w:eastAsia="方正仿宋_GBK" w:cs="方正仿宋_GBK"/>
          <w:kern w:val="0"/>
          <w:szCs w:val="21"/>
          <w:highlight w:val="none"/>
        </w:rPr>
        <w:t>2.1.8 预热时间≤ 21秒或更少；</w:t>
      </w:r>
    </w:p>
    <w:p>
      <w:pPr>
        <w:adjustRightInd w:val="0"/>
        <w:snapToGrid w:val="0"/>
        <w:spacing w:line="400" w:lineRule="exact"/>
        <w:rPr>
          <w:rFonts w:ascii="方正仿宋_GBK" w:hAnsi="方正仿宋_GBK" w:eastAsia="方正仿宋_GBK" w:cs="方正仿宋_GBK"/>
          <w:kern w:val="0"/>
          <w:szCs w:val="21"/>
          <w:highlight w:val="none"/>
        </w:rPr>
      </w:pPr>
      <w:r>
        <w:rPr>
          <w:rFonts w:hint="eastAsia" w:ascii="方正仿宋_GBK" w:hAnsi="方正仿宋_GBK" w:eastAsia="方正仿宋_GBK" w:cs="方正仿宋_GBK"/>
          <w:kern w:val="0"/>
          <w:szCs w:val="21"/>
          <w:highlight w:val="none"/>
        </w:rPr>
        <w:t>2.1.9 10.1英寸高清液晶触摸屏；</w:t>
      </w:r>
    </w:p>
    <w:p>
      <w:pPr>
        <w:adjustRightInd w:val="0"/>
        <w:snapToGrid w:val="0"/>
        <w:spacing w:line="400" w:lineRule="exact"/>
        <w:rPr>
          <w:rFonts w:ascii="方正仿宋_GBK" w:hAnsi="方正仿宋_GBK" w:eastAsia="方正仿宋_GBK" w:cs="方正仿宋_GBK"/>
          <w:kern w:val="0"/>
          <w:szCs w:val="21"/>
          <w:highlight w:val="none"/>
        </w:rPr>
      </w:pPr>
      <w:r>
        <w:rPr>
          <w:rFonts w:hint="eastAsia" w:ascii="方正仿宋_GBK" w:hAnsi="方正仿宋_GBK" w:eastAsia="方正仿宋_GBK" w:cs="方正仿宋_GBK"/>
          <w:kern w:val="0"/>
          <w:szCs w:val="21"/>
          <w:highlight w:val="none"/>
        </w:rPr>
        <w:t>2.1.10 供纸容量标配纸盒：自动纸盒5</w:t>
      </w:r>
      <w:r>
        <w:rPr>
          <w:rFonts w:ascii="方正仿宋_GBK" w:hAnsi="方正仿宋_GBK" w:eastAsia="方正仿宋_GBK" w:cs="方正仿宋_GBK"/>
          <w:kern w:val="0"/>
          <w:szCs w:val="21"/>
          <w:highlight w:val="none"/>
        </w:rPr>
        <w:t>0</w:t>
      </w:r>
      <w:r>
        <w:rPr>
          <w:rFonts w:hint="eastAsia" w:ascii="方正仿宋_GBK" w:hAnsi="方正仿宋_GBK" w:eastAsia="方正仿宋_GBK" w:cs="方正仿宋_GBK"/>
          <w:kern w:val="0"/>
          <w:szCs w:val="21"/>
          <w:highlight w:val="none"/>
        </w:rPr>
        <w:t>0张*2个，100页手送纸盘；</w:t>
      </w:r>
    </w:p>
    <w:p>
      <w:pPr>
        <w:adjustRightInd w:val="0"/>
        <w:snapToGrid w:val="0"/>
        <w:spacing w:line="400" w:lineRule="exact"/>
        <w:rPr>
          <w:rFonts w:ascii="方正仿宋_GBK" w:hAnsi="方正仿宋_GBK" w:eastAsia="方正仿宋_GBK" w:cs="方正仿宋_GBK"/>
          <w:kern w:val="0"/>
          <w:szCs w:val="21"/>
          <w:highlight w:val="none"/>
        </w:rPr>
      </w:pPr>
      <w:r>
        <w:rPr>
          <w:rFonts w:hint="eastAsia" w:ascii="方正仿宋_GBK" w:hAnsi="方正仿宋_GBK" w:eastAsia="方正仿宋_GBK" w:cs="方正仿宋_GBK"/>
          <w:kern w:val="0"/>
          <w:szCs w:val="21"/>
          <w:highlight w:val="none"/>
        </w:rPr>
        <w:t>2.1.11 适用纸张：5</w:t>
      </w:r>
      <w:r>
        <w:rPr>
          <w:rFonts w:ascii="方正仿宋_GBK" w:hAnsi="方正仿宋_GBK" w:eastAsia="方正仿宋_GBK" w:cs="方正仿宋_GBK"/>
          <w:kern w:val="0"/>
          <w:szCs w:val="21"/>
          <w:highlight w:val="none"/>
        </w:rPr>
        <w:t>2</w:t>
      </w:r>
      <w:r>
        <w:rPr>
          <w:rFonts w:hint="eastAsia" w:ascii="方正仿宋_GBK" w:hAnsi="方正仿宋_GBK" w:eastAsia="方正仿宋_GBK" w:cs="方正仿宋_GBK"/>
          <w:kern w:val="0"/>
          <w:szCs w:val="21"/>
          <w:highlight w:val="none"/>
        </w:rPr>
        <w:t>-300g；</w:t>
      </w:r>
    </w:p>
    <w:p>
      <w:pPr>
        <w:adjustRightInd w:val="0"/>
        <w:snapToGrid w:val="0"/>
        <w:spacing w:line="400" w:lineRule="exact"/>
        <w:rPr>
          <w:rFonts w:ascii="方正仿宋_GBK" w:hAnsi="方正仿宋_GBK" w:eastAsia="方正仿宋_GBK" w:cs="方正仿宋_GBK"/>
          <w:kern w:val="0"/>
          <w:szCs w:val="21"/>
          <w:highlight w:val="none"/>
        </w:rPr>
      </w:pPr>
      <w:r>
        <w:rPr>
          <w:rFonts w:hint="eastAsia" w:ascii="方正仿宋_GBK" w:hAnsi="方正仿宋_GBK" w:eastAsia="方正仿宋_GBK" w:cs="方正仿宋_GBK"/>
          <w:kern w:val="0"/>
          <w:szCs w:val="21"/>
          <w:highlight w:val="none"/>
        </w:rPr>
        <w:t>2.1.12 配置IC卡和ID卡读卡器。</w:t>
      </w:r>
    </w:p>
    <w:p>
      <w:pPr>
        <w:adjustRightInd w:val="0"/>
        <w:snapToGrid w:val="0"/>
        <w:spacing w:line="400" w:lineRule="exact"/>
        <w:rPr>
          <w:rFonts w:ascii="方正仿宋_GBK" w:hAnsi="方正仿宋_GBK" w:eastAsia="方正仿宋_GBK" w:cs="方正仿宋_GBK"/>
          <w:kern w:val="0"/>
          <w:szCs w:val="21"/>
          <w:highlight w:val="none"/>
        </w:rPr>
      </w:pPr>
      <w:r>
        <w:rPr>
          <w:rFonts w:hint="eastAsia" w:ascii="方正仿宋_GBK" w:hAnsi="方正仿宋_GBK" w:eastAsia="方正仿宋_GBK" w:cs="方正仿宋_GBK"/>
          <w:kern w:val="0"/>
          <w:szCs w:val="21"/>
          <w:highlight w:val="none"/>
        </w:rPr>
        <w:t>2.2 管控软件要求</w:t>
      </w:r>
    </w:p>
    <w:p>
      <w:pPr>
        <w:adjustRightInd w:val="0"/>
        <w:snapToGrid w:val="0"/>
        <w:spacing w:line="400" w:lineRule="exact"/>
        <w:rPr>
          <w:rFonts w:ascii="方正仿宋_GBK" w:hAnsi="方正仿宋_GBK" w:eastAsia="方正仿宋_GBK" w:cs="方正仿宋_GBK"/>
          <w:kern w:val="0"/>
          <w:szCs w:val="21"/>
          <w:highlight w:val="none"/>
        </w:rPr>
      </w:pPr>
      <w:r>
        <w:rPr>
          <w:rFonts w:hint="eastAsia" w:ascii="方正仿宋_GBK" w:hAnsi="方正仿宋_GBK" w:eastAsia="方正仿宋_GBK" w:cs="方正仿宋_GBK"/>
          <w:kern w:val="0"/>
          <w:szCs w:val="21"/>
          <w:highlight w:val="none"/>
        </w:rPr>
        <w:t>2.2.1 具备刷卡验证、密码验证、用户验证等多种验证功能；</w:t>
      </w:r>
    </w:p>
    <w:p>
      <w:pPr>
        <w:adjustRightInd w:val="0"/>
        <w:snapToGrid w:val="0"/>
        <w:spacing w:line="400" w:lineRule="exact"/>
        <w:rPr>
          <w:rFonts w:ascii="方正仿宋_GBK" w:hAnsi="方正仿宋_GBK" w:eastAsia="方正仿宋_GBK" w:cs="方正仿宋_GBK"/>
          <w:kern w:val="0"/>
          <w:szCs w:val="21"/>
          <w:highlight w:val="none"/>
        </w:rPr>
      </w:pPr>
      <w:r>
        <w:rPr>
          <w:rFonts w:hint="eastAsia" w:ascii="方正仿宋_GBK" w:hAnsi="方正仿宋_GBK" w:eastAsia="方正仿宋_GBK" w:cs="方正仿宋_GBK"/>
          <w:kern w:val="0"/>
          <w:szCs w:val="21"/>
          <w:highlight w:val="none"/>
        </w:rPr>
        <w:t>2.2.2 具备生成用户报表等功能；</w:t>
      </w:r>
    </w:p>
    <w:p>
      <w:pPr>
        <w:adjustRightInd w:val="0"/>
        <w:snapToGrid w:val="0"/>
        <w:spacing w:line="400" w:lineRule="exact"/>
        <w:rPr>
          <w:rFonts w:ascii="方正仿宋_GBK" w:hAnsi="方正仿宋_GBK" w:eastAsia="方正仿宋_GBK" w:cs="方正仿宋_GBK"/>
          <w:kern w:val="0"/>
          <w:szCs w:val="21"/>
          <w:highlight w:val="none"/>
        </w:rPr>
      </w:pPr>
      <w:r>
        <w:rPr>
          <w:rFonts w:hint="eastAsia" w:ascii="方正仿宋_GBK" w:hAnsi="方正仿宋_GBK" w:eastAsia="方正仿宋_GBK" w:cs="方正仿宋_GBK"/>
          <w:kern w:val="0"/>
          <w:szCs w:val="21"/>
          <w:highlight w:val="none"/>
        </w:rPr>
        <w:t>2.2.3 具备漫游打印、权限管理、配额管理的相关配套软件。</w:t>
      </w:r>
    </w:p>
    <w:p>
      <w:pPr>
        <w:adjustRightInd w:val="0"/>
        <w:snapToGrid w:val="0"/>
        <w:spacing w:line="400" w:lineRule="exact"/>
        <w:rPr>
          <w:rFonts w:ascii="方正仿宋_GBK" w:hAnsi="方正仿宋_GBK" w:eastAsia="方正仿宋_GBK" w:cs="方正仿宋_GBK"/>
          <w:b/>
          <w:bCs/>
          <w:kern w:val="0"/>
          <w:szCs w:val="21"/>
        </w:rPr>
      </w:pPr>
      <w:r>
        <w:rPr>
          <w:rFonts w:hint="eastAsia" w:ascii="方正仿宋_GBK" w:hAnsi="方正仿宋_GBK" w:eastAsia="方正仿宋_GBK" w:cs="方正仿宋_GBK"/>
          <w:b/>
          <w:bCs/>
          <w:kern w:val="0"/>
          <w:szCs w:val="21"/>
        </w:rPr>
        <w:t>三、商务要求</w:t>
      </w:r>
      <w:r>
        <w:rPr>
          <w:rFonts w:hint="eastAsia" w:ascii="方正仿宋_GBK" w:hAnsi="方正仿宋_GBK" w:eastAsia="方正仿宋_GBK" w:cs="方正仿宋_GBK"/>
          <w:b/>
          <w:bCs/>
          <w:kern w:val="0"/>
          <w:szCs w:val="21"/>
        </w:rPr>
        <w:tab/>
      </w:r>
    </w:p>
    <w:p>
      <w:pPr>
        <w:adjustRightInd w:val="0"/>
        <w:snapToGrid w:val="0"/>
        <w:spacing w:line="400" w:lineRule="exact"/>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3.1 本次报价须为人民币报价，报价包含但不限于产品运输费（含装卸费）、保险费、安装调试费、税费、培训费等以及维修保养服务相关的技术人员费和更换的零件、耗材（纸张除外）费用等所有费用。因供应商自身原因造成漏报、少报皆由其自行承担责任；</w:t>
      </w:r>
    </w:p>
    <w:p>
      <w:pPr>
        <w:adjustRightInd w:val="0"/>
        <w:snapToGrid w:val="0"/>
        <w:spacing w:line="400" w:lineRule="exact"/>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3.2 服务期间所提供的耗材及零配件必须为原厂生产；</w:t>
      </w:r>
    </w:p>
    <w:p>
      <w:pPr>
        <w:adjustRightInd w:val="0"/>
        <w:snapToGrid w:val="0"/>
        <w:spacing w:line="400" w:lineRule="exact"/>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3.3 成交供应商和制造商在服务期内应当为采购人提供以下技术支持和服务：</w:t>
      </w:r>
    </w:p>
    <w:p>
      <w:pPr>
        <w:adjustRightInd w:val="0"/>
        <w:snapToGrid w:val="0"/>
        <w:spacing w:line="400" w:lineRule="exact"/>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3.3.1 提供7*24小时（包含法定节假日）电话技术支持服务，5分钟内必须响应，解答采购人在使用中遇到的问题，及时为采购人提出解决问题的建议；</w:t>
      </w:r>
    </w:p>
    <w:p>
      <w:pPr>
        <w:adjustRightInd w:val="0"/>
        <w:snapToGrid w:val="0"/>
        <w:spacing w:line="400" w:lineRule="exact"/>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3.3.2 电话咨询不能解决的，应在2小时内到达现场进行免费故障处理，确保产品正常工作；</w:t>
      </w:r>
    </w:p>
    <w:p>
      <w:pPr>
        <w:adjustRightInd w:val="0"/>
        <w:snapToGrid w:val="0"/>
        <w:spacing w:line="400" w:lineRule="exact"/>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3.3.3 在2小时内故障设备无法解决的，应马上提供备用产品，使采购人能够正常使用；</w:t>
      </w:r>
    </w:p>
    <w:p>
      <w:pPr>
        <w:adjustRightInd w:val="0"/>
        <w:snapToGrid w:val="0"/>
        <w:spacing w:line="400" w:lineRule="exact"/>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3.3.4 每月对复印设备进行维护保养一次，免费对耗材及零配件进行更换；</w:t>
      </w:r>
    </w:p>
    <w:p>
      <w:pPr>
        <w:adjustRightInd w:val="0"/>
        <w:snapToGrid w:val="0"/>
        <w:spacing w:line="400" w:lineRule="exact"/>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3.3.5 在服务期内，如遇产品技术升级，应及时通知采购人。如采购人有相应要求，成交供应商和制造商应对采购人购买的产品提供免费升级服务；</w:t>
      </w:r>
    </w:p>
    <w:p>
      <w:pPr>
        <w:adjustRightInd w:val="0"/>
        <w:snapToGrid w:val="0"/>
        <w:spacing w:line="400" w:lineRule="exact"/>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3.4 付款方式：成交供应商按照合同约定，定期对设备进行抄表计数，填写相关“抄表服务单”并由采购方相关人员确认后，开具相应金额的增值税普通发票申请付款。财务部门对提交的付款资料审核通过后，以转账方式支付。</w:t>
      </w:r>
    </w:p>
    <w:p>
      <w:pPr>
        <w:adjustRightInd w:val="0"/>
        <w:snapToGrid w:val="0"/>
        <w:spacing w:line="400" w:lineRule="exact"/>
        <w:rPr>
          <w:rFonts w:ascii="方正仿宋_GBK" w:hAnsi="方正仿宋_GBK" w:eastAsia="方正仿宋_GBK" w:cs="方正仿宋_GBK"/>
          <w:b/>
          <w:bCs/>
          <w:kern w:val="0"/>
          <w:szCs w:val="21"/>
        </w:rPr>
      </w:pPr>
      <w:r>
        <w:rPr>
          <w:rFonts w:hint="eastAsia" w:ascii="方正仿宋_GBK" w:hAnsi="方正仿宋_GBK" w:eastAsia="方正仿宋_GBK" w:cs="方正仿宋_GBK"/>
          <w:b/>
          <w:bCs/>
          <w:kern w:val="0"/>
          <w:szCs w:val="21"/>
        </w:rPr>
        <w:t>四、供应商资质要求</w:t>
      </w:r>
    </w:p>
    <w:p>
      <w:pPr>
        <w:adjustRightInd w:val="0"/>
        <w:snapToGrid w:val="0"/>
        <w:spacing w:line="400" w:lineRule="exact"/>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4.1基本资格条件</w:t>
      </w:r>
    </w:p>
    <w:p>
      <w:pPr>
        <w:adjustRightInd w:val="0"/>
        <w:snapToGrid w:val="0"/>
        <w:spacing w:line="400" w:lineRule="exact"/>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4.1.1 具有独立承担民事责任的能力；</w:t>
      </w:r>
    </w:p>
    <w:p>
      <w:pPr>
        <w:adjustRightInd w:val="0"/>
        <w:snapToGrid w:val="0"/>
        <w:spacing w:line="400" w:lineRule="exact"/>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4.1.2 具有良好的商业信誉和健全的财务会计制度；</w:t>
      </w:r>
    </w:p>
    <w:p>
      <w:pPr>
        <w:adjustRightInd w:val="0"/>
        <w:snapToGrid w:val="0"/>
        <w:spacing w:line="400" w:lineRule="exact"/>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4.1.3 具有履行合同所必需的设备和专业技术能力；</w:t>
      </w:r>
    </w:p>
    <w:p>
      <w:pPr>
        <w:adjustRightInd w:val="0"/>
        <w:snapToGrid w:val="0"/>
        <w:spacing w:line="400" w:lineRule="exact"/>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4.1.4 具有依法缴纳税收和社会保障资金的良好记录；</w:t>
      </w:r>
    </w:p>
    <w:p>
      <w:pPr>
        <w:adjustRightInd w:val="0"/>
        <w:snapToGrid w:val="0"/>
        <w:spacing w:line="400" w:lineRule="exact"/>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4.1.5 参加政府采购活动近三年内，在经营活动中没有重大违法记录；</w:t>
      </w:r>
    </w:p>
    <w:p>
      <w:pPr>
        <w:adjustRightInd w:val="0"/>
        <w:snapToGrid w:val="0"/>
        <w:spacing w:line="400" w:lineRule="exact"/>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4.1.6 法律、行政法规规定的其他条件。</w:t>
      </w:r>
    </w:p>
    <w:p>
      <w:pPr>
        <w:adjustRightInd w:val="0"/>
        <w:snapToGrid w:val="0"/>
        <w:spacing w:line="400" w:lineRule="exact"/>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4.2供应商须提供以下资质证明文件原件或复印件及其它要求的材料</w:t>
      </w:r>
    </w:p>
    <w:p>
      <w:pPr>
        <w:adjustRightInd w:val="0"/>
        <w:snapToGrid w:val="0"/>
        <w:spacing w:line="400" w:lineRule="exact"/>
        <w:rPr>
          <w:rFonts w:ascii="方正仿宋_GBK" w:hAnsi="方正仿宋_GBK" w:eastAsia="方正仿宋_GBK" w:cs="方正仿宋_GBK"/>
          <w:color w:val="000000" w:themeColor="text1"/>
          <w:kern w:val="0"/>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4.2.1营业执照（副本）复印件；</w:t>
      </w:r>
    </w:p>
    <w:p>
      <w:pPr>
        <w:adjustRightInd w:val="0"/>
        <w:snapToGrid w:val="0"/>
        <w:spacing w:line="400" w:lineRule="exact"/>
        <w:rPr>
          <w:rFonts w:ascii="方正仿宋_GBK" w:hAnsi="方正仿宋_GBK" w:eastAsia="方正仿宋_GBK" w:cs="方正仿宋_GBK"/>
          <w:color w:val="000000" w:themeColor="text1"/>
          <w:kern w:val="0"/>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4.2.2 2022年年度财务报表；</w:t>
      </w:r>
    </w:p>
    <w:p>
      <w:pPr>
        <w:adjustRightInd w:val="0"/>
        <w:snapToGrid w:val="0"/>
        <w:spacing w:line="400" w:lineRule="exact"/>
        <w:rPr>
          <w:rFonts w:ascii="方正仿宋_GBK" w:hAnsi="方正仿宋_GBK" w:eastAsia="方正仿宋_GBK" w:cs="方正仿宋_GBK"/>
          <w:color w:val="000000" w:themeColor="text1"/>
          <w:kern w:val="0"/>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4.2.3生产企业委托代理经销授权书，不接受厂家出具的项目授权书（复印件加盖鲜章，原件备查）；</w:t>
      </w:r>
    </w:p>
    <w:p>
      <w:pPr>
        <w:adjustRightInd w:val="0"/>
        <w:snapToGrid w:val="0"/>
        <w:spacing w:line="400" w:lineRule="exact"/>
        <w:rPr>
          <w:rFonts w:ascii="方正仿宋_GBK" w:hAnsi="方正仿宋_GBK" w:eastAsia="方正仿宋_GBK" w:cs="方正仿宋_GBK"/>
          <w:color w:val="000000" w:themeColor="text1"/>
          <w:kern w:val="0"/>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4.2.4供应商法定代表人签发的授权委托书（须明确授权范围）及身份证明（复印件加盖鲜章）；</w:t>
      </w:r>
    </w:p>
    <w:p>
      <w:pPr>
        <w:adjustRightInd w:val="0"/>
        <w:snapToGrid w:val="0"/>
        <w:spacing w:line="400" w:lineRule="exact"/>
        <w:rPr>
          <w:rFonts w:ascii="方正仿宋_GBK" w:hAnsi="方正仿宋_GBK" w:eastAsia="方正仿宋_GBK" w:cs="方正仿宋_GBK"/>
          <w:color w:val="000000" w:themeColor="text1"/>
          <w:kern w:val="0"/>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4.2.5 缴纳税收和社会保障金的证明材料复印件；</w:t>
      </w:r>
    </w:p>
    <w:p>
      <w:pPr>
        <w:adjustRightInd w:val="0"/>
        <w:snapToGrid w:val="0"/>
        <w:spacing w:line="400" w:lineRule="exact"/>
        <w:rPr>
          <w:rFonts w:ascii="方正仿宋_GBK" w:hAnsi="方正仿宋_GBK" w:eastAsia="方正仿宋_GBK" w:cs="方正仿宋_GBK"/>
          <w:color w:val="000000" w:themeColor="text1"/>
          <w:kern w:val="0"/>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4.2.6“信用中国”网站(www.creditchina.gov.cn)和"中国政府采购网"(www.ccgp.gov.cn)查询供应商信用记录（查询结果截图打印）；</w:t>
      </w:r>
    </w:p>
    <w:p>
      <w:pPr>
        <w:adjustRightInd w:val="0"/>
        <w:snapToGrid w:val="0"/>
        <w:spacing w:line="400" w:lineRule="exact"/>
        <w:rPr>
          <w:rFonts w:ascii="方正仿宋_GBK" w:hAnsi="方正仿宋_GBK" w:eastAsia="方正仿宋_GBK" w:cs="方正仿宋_GBK"/>
          <w:color w:val="000000" w:themeColor="text1"/>
          <w:kern w:val="0"/>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4.3.8售后服务承诺函、产品介绍、彩页资料以及供应商认为与产品相关的资料。</w:t>
      </w:r>
    </w:p>
    <w:p>
      <w:pPr>
        <w:adjustRightInd w:val="0"/>
        <w:snapToGrid w:val="0"/>
        <w:spacing w:line="400" w:lineRule="exact"/>
        <w:rPr>
          <w:rFonts w:ascii="方正仿宋_GBK" w:hAnsi="方正仿宋_GBK" w:eastAsia="方正仿宋_GBK" w:cs="方正仿宋_GBK"/>
          <w:b/>
          <w:bCs/>
          <w:color w:val="000000" w:themeColor="text1"/>
          <w:kern w:val="0"/>
          <w:szCs w:val="21"/>
          <w14:textFill>
            <w14:solidFill>
              <w14:schemeClr w14:val="tx1"/>
            </w14:solidFill>
          </w14:textFill>
        </w:rPr>
      </w:pPr>
      <w:r>
        <w:rPr>
          <w:rFonts w:hint="eastAsia" w:ascii="方正仿宋_GBK" w:hAnsi="方正仿宋_GBK" w:eastAsia="方正仿宋_GBK" w:cs="方正仿宋_GBK"/>
          <w:b/>
          <w:bCs/>
          <w:color w:val="000000" w:themeColor="text1"/>
          <w:kern w:val="0"/>
          <w:szCs w:val="21"/>
          <w14:textFill>
            <w14:solidFill>
              <w14:schemeClr w14:val="tx1"/>
            </w14:solidFill>
          </w14:textFill>
        </w:rPr>
        <w:t>五、响应文件要求</w:t>
      </w:r>
    </w:p>
    <w:p>
      <w:pPr>
        <w:adjustRightInd w:val="0"/>
        <w:snapToGrid w:val="0"/>
        <w:spacing w:line="400" w:lineRule="exact"/>
        <w:rPr>
          <w:rFonts w:ascii="方正仿宋_GBK" w:hAnsi="方正仿宋_GBK" w:eastAsia="方正仿宋_GBK" w:cs="方正仿宋_GBK"/>
          <w:color w:val="000000" w:themeColor="text1"/>
          <w:kern w:val="0"/>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5.1</w:t>
      </w:r>
      <w:r>
        <w:rPr>
          <w:rFonts w:hint="eastAsia" w:ascii="方正仿宋_GBK" w:hAnsi="方正仿宋_GBK" w:eastAsia="方正仿宋_GBK" w:cs="方正仿宋_GBK"/>
          <w:color w:val="000000" w:themeColor="text1"/>
          <w:szCs w:val="21"/>
          <w14:textFill>
            <w14:solidFill>
              <w14:schemeClr w14:val="tx1"/>
            </w14:solidFill>
          </w14:textFill>
        </w:rPr>
        <w:t>供应商应当按照采购文件的要求编制响应文件，对所提出的要求和条件做出实质性响应，同时编制完整的页码、目录；</w:t>
      </w:r>
    </w:p>
    <w:p>
      <w:pPr>
        <w:adjustRightInd w:val="0"/>
        <w:snapToGrid w:val="0"/>
        <w:spacing w:line="400" w:lineRule="exact"/>
        <w:rPr>
          <w:rFonts w:ascii="方正仿宋_GBK" w:hAnsi="方正仿宋_GBK" w:eastAsia="方正仿宋_GBK" w:cs="方正仿宋_GBK"/>
          <w:b w:val="0"/>
          <w:bCs/>
          <w:color w:val="000000" w:themeColor="text1"/>
          <w:kern w:val="0"/>
          <w:szCs w:val="21"/>
          <w14:textFill>
            <w14:solidFill>
              <w14:schemeClr w14:val="tx1"/>
            </w14:solidFill>
          </w14:textFill>
        </w:rPr>
      </w:pPr>
      <w:r>
        <w:rPr>
          <w:rFonts w:hint="eastAsia" w:ascii="方正仿宋_GBK" w:hAnsi="方正仿宋_GBK" w:eastAsia="方正仿宋_GBK" w:cs="方正仿宋_GBK"/>
          <w:color w:val="000000" w:themeColor="text1"/>
          <w:kern w:val="0"/>
          <w:szCs w:val="21"/>
          <w14:textFill>
            <w14:solidFill>
              <w14:schemeClr w14:val="tx1"/>
            </w14:solidFill>
          </w14:textFill>
        </w:rPr>
        <w:t>5.2</w:t>
      </w:r>
      <w:r>
        <w:rPr>
          <w:rFonts w:hint="eastAsia" w:ascii="方正仿宋_GBK" w:hAnsi="方正仿宋_GBK" w:eastAsia="方正仿宋_GBK" w:cs="方正仿宋_GBK"/>
          <w:b w:val="0"/>
          <w:bCs/>
          <w:color w:val="000000" w:themeColor="text1"/>
          <w:kern w:val="0"/>
          <w:szCs w:val="21"/>
          <w14:textFill>
            <w14:solidFill>
              <w14:schemeClr w14:val="tx1"/>
            </w14:solidFill>
          </w14:textFill>
        </w:rPr>
        <w:t>响应文件</w:t>
      </w:r>
      <w:r>
        <w:rPr>
          <w:rFonts w:hint="eastAsia" w:ascii="方正仿宋_GBK" w:hAnsi="方正仿宋_GBK" w:eastAsia="方正仿宋_GBK" w:cs="方正仿宋_GBK"/>
          <w:b w:val="0"/>
          <w:bCs/>
          <w:color w:val="000000" w:themeColor="text1"/>
          <w:szCs w:val="21"/>
          <w14:textFill>
            <w14:solidFill>
              <w14:schemeClr w14:val="tx1"/>
            </w14:solidFill>
          </w14:textFill>
        </w:rPr>
        <w:t>一式两份，其中正、副本各一份（注：封面应注明项目名称、供应商名称、联系人及电话，不需密封），报价一份（报价需密封）。</w:t>
      </w:r>
    </w:p>
    <w:p>
      <w:pPr>
        <w:adjustRightInd w:val="0"/>
        <w:snapToGrid w:val="0"/>
        <w:spacing w:line="400" w:lineRule="exact"/>
        <w:rPr>
          <w:rFonts w:ascii="方正仿宋_GBK" w:hAnsi="方正仿宋_GBK" w:eastAsia="方正仿宋_GBK" w:cs="方正仿宋_GBK"/>
          <w:b/>
          <w:bCs/>
          <w:kern w:val="0"/>
          <w:szCs w:val="21"/>
        </w:rPr>
      </w:pPr>
      <w:r>
        <w:rPr>
          <w:rFonts w:hint="eastAsia" w:ascii="方正仿宋_GBK" w:hAnsi="方正仿宋_GBK" w:eastAsia="方正仿宋_GBK" w:cs="方正仿宋_GBK"/>
          <w:b/>
          <w:bCs/>
          <w:kern w:val="0"/>
          <w:szCs w:val="21"/>
        </w:rPr>
        <w:t>六、谈判时间及响应文件递交时限、联系方式</w:t>
      </w:r>
    </w:p>
    <w:p>
      <w:pPr>
        <w:spacing w:line="400" w:lineRule="exact"/>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6.1谈判时间：另行通知；</w:t>
      </w:r>
    </w:p>
    <w:p>
      <w:pPr>
        <w:spacing w:line="400" w:lineRule="exact"/>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6.2递交时限：请于2023年12月2</w:t>
      </w:r>
      <w:r>
        <w:rPr>
          <w:rFonts w:hint="eastAsia" w:ascii="方正仿宋_GBK" w:hAnsi="方正仿宋_GBK" w:eastAsia="方正仿宋_GBK" w:cs="方正仿宋_GBK"/>
          <w:kern w:val="0"/>
          <w:szCs w:val="21"/>
          <w:lang w:val="en-US" w:eastAsia="zh-CN"/>
        </w:rPr>
        <w:t>8</w:t>
      </w:r>
      <w:r>
        <w:rPr>
          <w:rFonts w:hint="eastAsia" w:ascii="方正仿宋_GBK" w:hAnsi="方正仿宋_GBK" w:eastAsia="方正仿宋_GBK" w:cs="方正仿宋_GBK"/>
          <w:kern w:val="0"/>
          <w:szCs w:val="21"/>
        </w:rPr>
        <w:t>日下午5:00前将响应文件和报价交至招标办，逾期不再受理；</w:t>
      </w:r>
    </w:p>
    <w:p>
      <w:pPr>
        <w:spacing w:line="400" w:lineRule="exact"/>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6.3</w:t>
      </w:r>
      <w:r>
        <w:rPr>
          <w:rFonts w:hint="eastAsia" w:ascii="方正仿宋_GBK" w:hAnsi="方正仿宋_GBK" w:eastAsia="方正仿宋_GBK" w:cs="方正仿宋_GBK"/>
          <w:color w:val="000000"/>
          <w:szCs w:val="21"/>
        </w:rPr>
        <w:t>递交地点：渝中区健康路1号（重庆市第四人民医院老大楼14楼14-5室）</w:t>
      </w:r>
      <w:r>
        <w:rPr>
          <w:rFonts w:hint="eastAsia" w:ascii="方正仿宋_GBK" w:hAnsi="方正仿宋_GBK" w:eastAsia="方正仿宋_GBK" w:cs="方正仿宋_GBK"/>
          <w:kern w:val="0"/>
          <w:szCs w:val="21"/>
        </w:rPr>
        <w:t>；</w:t>
      </w:r>
    </w:p>
    <w:p>
      <w:pPr>
        <w:spacing w:line="400" w:lineRule="exact"/>
        <w:rPr>
          <w:rFonts w:ascii="方正仿宋_GBK" w:hAnsi="方正仿宋_GBK" w:eastAsia="方正仿宋_GBK" w:cs="方正仿宋_GBK"/>
          <w:color w:val="000000"/>
          <w:szCs w:val="21"/>
        </w:rPr>
      </w:pPr>
      <w:r>
        <w:rPr>
          <w:rFonts w:hint="eastAsia" w:ascii="方正仿宋_GBK" w:hAnsi="方正仿宋_GBK" w:eastAsia="方正仿宋_GBK" w:cs="方正仿宋_GBK"/>
          <w:kern w:val="0"/>
          <w:szCs w:val="21"/>
        </w:rPr>
        <w:t>6.4</w:t>
      </w:r>
      <w:r>
        <w:rPr>
          <w:rFonts w:hint="eastAsia" w:ascii="方正仿宋_GBK" w:hAnsi="方正仿宋_GBK" w:eastAsia="方正仿宋_GBK" w:cs="方正仿宋_GBK"/>
          <w:color w:val="000000"/>
          <w:szCs w:val="21"/>
        </w:rPr>
        <w:t>联系人及电话：郭老师 63692226。</w:t>
      </w:r>
    </w:p>
    <w:p>
      <w:pPr>
        <w:adjustRightInd w:val="0"/>
        <w:snapToGrid w:val="0"/>
        <w:spacing w:line="400" w:lineRule="exact"/>
        <w:rPr>
          <w:rFonts w:ascii="方正仿宋_GBK" w:hAnsi="方正仿宋_GBK" w:eastAsia="方正仿宋_GBK" w:cs="方正仿宋_GBK"/>
          <w:b/>
          <w:bCs/>
          <w:color w:val="000000"/>
          <w:szCs w:val="21"/>
        </w:rPr>
      </w:pPr>
      <w:r>
        <w:rPr>
          <w:rFonts w:hint="eastAsia" w:ascii="方正仿宋_GBK" w:hAnsi="方正仿宋_GBK" w:eastAsia="方正仿宋_GBK" w:cs="方正仿宋_GBK"/>
          <w:b/>
          <w:bCs/>
          <w:color w:val="000000"/>
          <w:szCs w:val="21"/>
        </w:rPr>
        <w:t>七、谈判结果公示</w:t>
      </w:r>
    </w:p>
    <w:p>
      <w:pPr>
        <w:pStyle w:val="13"/>
        <w:adjustRightInd w:val="0"/>
        <w:snapToGrid w:val="0"/>
        <w:spacing w:line="400" w:lineRule="exact"/>
        <w:rPr>
          <w:rFonts w:ascii="方正仿宋_GBK" w:hAnsi="方正仿宋_GBK" w:eastAsia="方正仿宋_GBK" w:cs="方正仿宋_GBK"/>
          <w:color w:val="000000"/>
          <w:kern w:val="2"/>
          <w:sz w:val="21"/>
          <w:szCs w:val="21"/>
        </w:rPr>
      </w:pPr>
      <w:r>
        <w:rPr>
          <w:rFonts w:hint="eastAsia" w:ascii="方正仿宋_GBK" w:hAnsi="方正仿宋_GBK" w:eastAsia="方正仿宋_GBK" w:cs="方正仿宋_GBK"/>
          <w:color w:val="000000"/>
          <w:kern w:val="2"/>
          <w:sz w:val="21"/>
          <w:szCs w:val="21"/>
        </w:rPr>
        <w:t>7.1采购人将谈判结果报我院有权审批部门审批后，即以电话形式告之成交供应商，并在“重庆市急救医疗中心”网站（www.cq120.com.cn）上发布结果公告；</w:t>
      </w:r>
    </w:p>
    <w:p>
      <w:pPr>
        <w:pStyle w:val="13"/>
        <w:adjustRightInd w:val="0"/>
        <w:snapToGrid w:val="0"/>
        <w:spacing w:line="400" w:lineRule="exact"/>
        <w:rPr>
          <w:rFonts w:ascii="方正仿宋_GBK" w:hAnsi="方正仿宋_GBK" w:eastAsia="方正仿宋_GBK" w:cs="方正仿宋_GBK"/>
          <w:szCs w:val="21"/>
        </w:rPr>
      </w:pPr>
      <w:r>
        <w:rPr>
          <w:rFonts w:hint="eastAsia" w:ascii="方正仿宋_GBK" w:hAnsi="方正仿宋_GBK" w:eastAsia="方正仿宋_GBK" w:cs="方正仿宋_GBK"/>
          <w:color w:val="000000"/>
          <w:kern w:val="2"/>
          <w:sz w:val="21"/>
          <w:szCs w:val="21"/>
        </w:rPr>
        <w:t>7.2采购人无义务向其他供应商解释未成交原因，响应文件概不退还。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CB407"/>
    <w:multiLevelType w:val="singleLevel"/>
    <w:tmpl w:val="312CB40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NjYzczMjI0OWJkZTcxZTM0MmNiNjMzMjBlYTlhMzUifQ=="/>
  </w:docVars>
  <w:rsids>
    <w:rsidRoot w:val="000C36F2"/>
    <w:rsid w:val="0001508D"/>
    <w:rsid w:val="000A6A8F"/>
    <w:rsid w:val="000C36F2"/>
    <w:rsid w:val="000C7590"/>
    <w:rsid w:val="001921E5"/>
    <w:rsid w:val="002060A8"/>
    <w:rsid w:val="00225749"/>
    <w:rsid w:val="0023239A"/>
    <w:rsid w:val="002421D1"/>
    <w:rsid w:val="0026404A"/>
    <w:rsid w:val="003074F3"/>
    <w:rsid w:val="00335826"/>
    <w:rsid w:val="00374BE4"/>
    <w:rsid w:val="0039487D"/>
    <w:rsid w:val="003E1E19"/>
    <w:rsid w:val="004063D6"/>
    <w:rsid w:val="004275C8"/>
    <w:rsid w:val="004F7FB2"/>
    <w:rsid w:val="00526E96"/>
    <w:rsid w:val="00582D5B"/>
    <w:rsid w:val="006238C5"/>
    <w:rsid w:val="00624EA1"/>
    <w:rsid w:val="0063484A"/>
    <w:rsid w:val="00665CAB"/>
    <w:rsid w:val="00737577"/>
    <w:rsid w:val="007A0BB9"/>
    <w:rsid w:val="007D7DB6"/>
    <w:rsid w:val="008003B4"/>
    <w:rsid w:val="008873EA"/>
    <w:rsid w:val="00891964"/>
    <w:rsid w:val="008B2379"/>
    <w:rsid w:val="00926A90"/>
    <w:rsid w:val="00A91680"/>
    <w:rsid w:val="00AC2602"/>
    <w:rsid w:val="00AE6C92"/>
    <w:rsid w:val="00B2413C"/>
    <w:rsid w:val="00B8061D"/>
    <w:rsid w:val="00BC258C"/>
    <w:rsid w:val="00C13CF0"/>
    <w:rsid w:val="00C75000"/>
    <w:rsid w:val="00D20F59"/>
    <w:rsid w:val="00D41986"/>
    <w:rsid w:val="00DA1B76"/>
    <w:rsid w:val="00E00AE6"/>
    <w:rsid w:val="00E73DC9"/>
    <w:rsid w:val="00E93AA9"/>
    <w:rsid w:val="00F30B28"/>
    <w:rsid w:val="00F55999"/>
    <w:rsid w:val="00F805C2"/>
    <w:rsid w:val="00F95E92"/>
    <w:rsid w:val="015033A1"/>
    <w:rsid w:val="03657579"/>
    <w:rsid w:val="04B57C92"/>
    <w:rsid w:val="075B3E6D"/>
    <w:rsid w:val="07A97C51"/>
    <w:rsid w:val="0A1D68B3"/>
    <w:rsid w:val="0A655C91"/>
    <w:rsid w:val="101E7372"/>
    <w:rsid w:val="120D6F1B"/>
    <w:rsid w:val="172308AC"/>
    <w:rsid w:val="1B071308"/>
    <w:rsid w:val="1B333831"/>
    <w:rsid w:val="1B555D72"/>
    <w:rsid w:val="1F591F5B"/>
    <w:rsid w:val="239201B7"/>
    <w:rsid w:val="23D4444E"/>
    <w:rsid w:val="2AD9755F"/>
    <w:rsid w:val="2AEF6307"/>
    <w:rsid w:val="2BAD3246"/>
    <w:rsid w:val="2C084958"/>
    <w:rsid w:val="2CB113C4"/>
    <w:rsid w:val="2DBD30A8"/>
    <w:rsid w:val="2FBF6569"/>
    <w:rsid w:val="3374244B"/>
    <w:rsid w:val="380B7B1F"/>
    <w:rsid w:val="3DC701BE"/>
    <w:rsid w:val="43D14CEC"/>
    <w:rsid w:val="471A4272"/>
    <w:rsid w:val="4B6E42A4"/>
    <w:rsid w:val="4C4E3963"/>
    <w:rsid w:val="4E1D3B6A"/>
    <w:rsid w:val="4E7A3D36"/>
    <w:rsid w:val="50621EA3"/>
    <w:rsid w:val="580A4240"/>
    <w:rsid w:val="65DB7408"/>
    <w:rsid w:val="65F7767F"/>
    <w:rsid w:val="66320A9D"/>
    <w:rsid w:val="6ABE6BC3"/>
    <w:rsid w:val="6ABF0925"/>
    <w:rsid w:val="6D8961CA"/>
    <w:rsid w:val="6F4C3EA0"/>
    <w:rsid w:val="713D4F2F"/>
    <w:rsid w:val="726C6DF1"/>
    <w:rsid w:val="72A37399"/>
    <w:rsid w:val="776E34F1"/>
    <w:rsid w:val="79134850"/>
    <w:rsid w:val="79955265"/>
    <w:rsid w:val="7BBE50B7"/>
    <w:rsid w:val="7DE02E6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widowControl/>
      <w:pBdr>
        <w:bottom w:val="single" w:color="4F81BD" w:themeColor="accent1" w:sz="8" w:space="1"/>
      </w:pBdr>
      <w:spacing w:before="200" w:after="80"/>
      <w:jc w:val="left"/>
      <w:outlineLvl w:val="1"/>
    </w:pPr>
    <w:rPr>
      <w:rFonts w:asciiTheme="majorHAnsi" w:hAnsiTheme="majorHAnsi" w:eastAsiaTheme="majorEastAsia" w:cstheme="majorBidi"/>
      <w:color w:val="376092" w:themeColor="accent1" w:themeShade="BF"/>
      <w:kern w:val="0"/>
      <w:sz w:val="24"/>
      <w:szCs w:val="24"/>
      <w:lang w:eastAsia="en-US" w:bidi="en-US"/>
    </w:rPr>
  </w:style>
  <w:style w:type="paragraph" w:styleId="3">
    <w:name w:val="heading 3"/>
    <w:basedOn w:val="1"/>
    <w:next w:val="1"/>
    <w:unhideWhenUsed/>
    <w:qFormat/>
    <w:uiPriority w:val="9"/>
    <w:pPr>
      <w:keepNext/>
      <w:keepLines/>
      <w:spacing w:before="20" w:beforeLines="20" w:after="20" w:afterLines="20" w:line="380" w:lineRule="exact"/>
      <w:ind w:firstLine="67" w:firstLineChars="67"/>
      <w:outlineLvl w:val="2"/>
    </w:pPr>
    <w:rPr>
      <w:rFonts w:ascii="Verdana" w:hAnsi="Verdana" w:eastAsia="黑体"/>
      <w:b/>
      <w:bCs/>
      <w:sz w:val="27"/>
      <w:szCs w:val="32"/>
    </w:rPr>
  </w:style>
  <w:style w:type="character" w:default="1" w:styleId="8">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4">
    <w:name w:val="annotation text"/>
    <w:basedOn w:val="1"/>
    <w:unhideWhenUsed/>
    <w:qFormat/>
    <w:uiPriority w:val="99"/>
    <w:pPr>
      <w:jc w:val="left"/>
    </w:p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customStyle="1" w:styleId="10">
    <w:name w:val="页眉 字符"/>
    <w:basedOn w:val="8"/>
    <w:link w:val="6"/>
    <w:qFormat/>
    <w:uiPriority w:val="99"/>
    <w:rPr>
      <w:sz w:val="18"/>
      <w:szCs w:val="18"/>
    </w:rPr>
  </w:style>
  <w:style w:type="character" w:customStyle="1" w:styleId="11">
    <w:name w:val="页脚 字符"/>
    <w:basedOn w:val="8"/>
    <w:link w:val="5"/>
    <w:qFormat/>
    <w:uiPriority w:val="99"/>
    <w:rPr>
      <w:sz w:val="18"/>
      <w:szCs w:val="18"/>
    </w:rPr>
  </w:style>
  <w:style w:type="paragraph" w:customStyle="1" w:styleId="12">
    <w:name w:val="列出段落1"/>
    <w:basedOn w:val="1"/>
    <w:qFormat/>
    <w:uiPriority w:val="34"/>
    <w:pPr>
      <w:ind w:firstLine="420" w:firstLineChars="200"/>
    </w:pPr>
  </w:style>
  <w:style w:type="paragraph" w:customStyle="1" w:styleId="13">
    <w:name w:val="_Style 0"/>
    <w:qFormat/>
    <w:uiPriority w:val="1"/>
    <w:rPr>
      <w:rFonts w:ascii="Calibri" w:hAnsi="Calibri" w:eastAsia="宋体" w:cs="Times New Roman"/>
      <w:sz w:val="22"/>
      <w:szCs w:val="22"/>
      <w:lang w:val="en-US" w:eastAsia="zh-CN" w:bidi="ar-SA"/>
    </w:rPr>
  </w:style>
  <w:style w:type="paragraph" w:customStyle="1" w:styleId="14">
    <w:name w:val="图例"/>
    <w:basedOn w:val="1"/>
    <w:qFormat/>
    <w:uiPriority w:val="0"/>
    <w:pPr>
      <w:spacing w:before="120" w:after="120" w:line="360" w:lineRule="auto"/>
      <w:jc w:val="center"/>
    </w:pPr>
    <w:rPr>
      <w:rFonts w:eastAsia="仿宋_GB2312"/>
      <w:b/>
      <w:sz w:val="24"/>
    </w:rPr>
  </w:style>
  <w:style w:type="paragraph" w:customStyle="1" w:styleId="15">
    <w:name w:val="列出段落2"/>
    <w:basedOn w:val="1"/>
    <w:qFormat/>
    <w:uiPriority w:val="99"/>
    <w:pPr>
      <w:ind w:firstLine="420" w:firstLineChars="200"/>
    </w:pPr>
    <w:rPr>
      <w:szCs w:val="24"/>
    </w:rPr>
  </w:style>
  <w:style w:type="paragraph" w:customStyle="1" w:styleId="16">
    <w:name w:val="列出段落21"/>
    <w:basedOn w:val="1"/>
    <w:qFormat/>
    <w:uiPriority w:val="99"/>
    <w:pPr>
      <w:ind w:firstLine="420" w:firstLineChars="200"/>
    </w:pPr>
    <w:rPr>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312</Words>
  <Characters>1785</Characters>
  <Lines>14</Lines>
  <Paragraphs>4</Paragraphs>
  <ScaleCrop>false</ScaleCrop>
  <LinksUpToDate>false</LinksUpToDate>
  <CharactersWithSpaces>2093</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2023-12-22T12:04:00Z</dcterms:created>
  <dc:creator>微软用户</dc:creator>
  <cp:lastModifiedBy>ZBB</cp:lastModifiedBy>
  <cp:lastPrinted>2022-07-25T01:00:00Z</cp:lastPrinted>
  <dcterms:modified xsi:type="dcterms:W3CDTF">2023-12-25T02:22:54Z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33826A7716C34CDEBE52EC54FF50EEB3_13</vt:lpwstr>
  </property>
</Properties>
</file>