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放射性污染防护服常规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第三次需求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18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重庆市第四人民医院曾两次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对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该项目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进行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过采购公告，但均由于递交响应材料的供应商不足三家，而采购终止。现又一次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欢迎具有相关资质且有良好信誉和配送能力的单位（公司）参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项目内容</w:t>
      </w:r>
      <w:bookmarkStart w:id="0" w:name="_GoBack"/>
      <w:bookmarkEnd w:id="0"/>
    </w:p>
    <w:tbl>
      <w:tblPr>
        <w:tblStyle w:val="9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995"/>
        <w:gridCol w:w="2115"/>
        <w:gridCol w:w="316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用途</w:t>
            </w:r>
          </w:p>
        </w:tc>
        <w:tc>
          <w:tcPr>
            <w:tcW w:w="31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材质及技术要求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vertAlign w:val="baseline"/>
                <w:lang w:val="en-US" w:eastAsia="zh-CN"/>
              </w:rPr>
              <w:t>成交供应商数量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放射性污染防护服</w:t>
            </w:r>
          </w:p>
        </w:tc>
        <w:tc>
          <w:tcPr>
            <w:tcW w:w="2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防止放射性污染物质沾染人体</w:t>
            </w:r>
          </w:p>
        </w:tc>
        <w:tc>
          <w:tcPr>
            <w:tcW w:w="31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Cs w:val="21"/>
                <w:vertAlign w:val="baseline"/>
                <w:lang w:val="en-US" w:eastAsia="zh-CN"/>
              </w:rPr>
              <w:t>1名</w:t>
            </w:r>
          </w:p>
        </w:tc>
      </w:tr>
    </w:tbl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二、供应商资质要求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4有依法缴纳税收和社会保障资金的良好记录；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5参加政府采购活动近三年内，在经营活动中没有重大违法记录。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为所投标产品制造商或经销商，若为经销商投标，须具备产品制造商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直接授权的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经销资格；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须具备有效期内《医疗器械经营企业许可证》或《医疗器械经营许可证》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三、商务要求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3.1质保期不少于3年；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3.2付款方式：经采购人验收合格后，采购人支付全部货款。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3.3提供所投产品在重庆的用户名单、联系人及联系电话。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4.1不得干扰采购人的评审活动，否则将废除其投标。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4.2若未成交，本院无义务对各供应商做解释工作。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4.3应保证所有资料的真实性。如提供不真实的材料，无论其材料是否重要，供应商需承担相应的后果及法律责任。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4.4理解并同意：最低报价非中标的唯一条件。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（一）内容要求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缴纳税收和社会保障金的证明材料复印件；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1.5在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产品制造商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授权资料；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5.1.7供应商《医疗器械生产企业许可证》或《医疗器械经营企业许可证》（复印件加盖鲜章）；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5.1.8提供所投产品销售业绩的相关证明材料，如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产品介绍、彩页资料等材料。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格式要求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报价一份（报价需密封）。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日下午5:00前将响应文件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、纸质报价及产品样本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交至招标办，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逾期不再受理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-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郭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老师 63692226。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时间及地点：另行通知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，并在“重庆市急救医疗中心”网站（www.cq120.com.cn）上发布结果公告；</w:t>
      </w:r>
    </w:p>
    <w:p>
      <w:pPr>
        <w:pStyle w:val="13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3A11DFB"/>
    <w:rsid w:val="08384706"/>
    <w:rsid w:val="0918601A"/>
    <w:rsid w:val="0A1D68B3"/>
    <w:rsid w:val="0B0B2B8C"/>
    <w:rsid w:val="0E0072E7"/>
    <w:rsid w:val="0E2F06B6"/>
    <w:rsid w:val="101E7372"/>
    <w:rsid w:val="120D6F1B"/>
    <w:rsid w:val="12155AEC"/>
    <w:rsid w:val="13E54695"/>
    <w:rsid w:val="153B0D9E"/>
    <w:rsid w:val="1D29167B"/>
    <w:rsid w:val="1E08551C"/>
    <w:rsid w:val="1F591F5B"/>
    <w:rsid w:val="213C5DBA"/>
    <w:rsid w:val="27856EED"/>
    <w:rsid w:val="294E3997"/>
    <w:rsid w:val="2BAD3246"/>
    <w:rsid w:val="33A24E21"/>
    <w:rsid w:val="35720C80"/>
    <w:rsid w:val="3FD41CE4"/>
    <w:rsid w:val="40555181"/>
    <w:rsid w:val="417B242E"/>
    <w:rsid w:val="486E3659"/>
    <w:rsid w:val="4B6E42A4"/>
    <w:rsid w:val="5113381A"/>
    <w:rsid w:val="57EC6A62"/>
    <w:rsid w:val="59B352EC"/>
    <w:rsid w:val="5C6414EF"/>
    <w:rsid w:val="62237FA1"/>
    <w:rsid w:val="65DB7408"/>
    <w:rsid w:val="6ABE6BC3"/>
    <w:rsid w:val="6FF618A8"/>
    <w:rsid w:val="71022B9E"/>
    <w:rsid w:val="714D0081"/>
    <w:rsid w:val="72062190"/>
    <w:rsid w:val="725F7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szCs w:val="24"/>
      <w:lang w:eastAsia="en-US" w:bidi="en-US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4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2023-06-21T00:24:48Z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