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病房护理器具及通用小设备常规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采购文件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16</w:t>
      </w:r>
    </w:p>
    <w:p>
      <w:pPr>
        <w:jc w:val="center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发布时间：202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7</w:t>
      </w:r>
    </w:p>
    <w:p>
      <w:pPr>
        <w:adjustRightInd w:val="0"/>
        <w:snapToGrid w:val="0"/>
        <w:ind w:firstLine="420" w:firstLineChars="200"/>
        <w:rPr>
          <w:rFonts w:ascii="方正仿宋_GBK" w:hAnsi="方正仿宋_GBK" w:eastAsia="方正仿宋_GBK" w:cs="方正仿宋_GBK"/>
          <w:color w:val="000000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重庆市第四人民医院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重庆市急救医疗中心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本着公平、公正、公开、诚信的原则，拟对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医院常用病房护理器具及通用小设备的常规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采购进行竞争性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，现诚邀具有合格资质和良好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配送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能力的供应商参与竞争。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包含但不限于本次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采购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项目，如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增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加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项目可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自行增加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025"/>
        <w:gridCol w:w="1380"/>
        <w:gridCol w:w="4515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  <w:t>品名</w:t>
            </w:r>
          </w:p>
        </w:tc>
        <w:tc>
          <w:tcPr>
            <w:tcW w:w="4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  <w:t>材质及技术要求</w:t>
            </w: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  <w:t>成交供应商数量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病房护理器具1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病历推车</w:t>
            </w:r>
          </w:p>
        </w:tc>
        <w:tc>
          <w:tcPr>
            <w:tcW w:w="4515" w:type="dxa"/>
            <w:vMerge w:val="restart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1.主要材质：台面为ABS、抽屉为铝合金、不锈钢等</w:t>
            </w: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2.颜色及样式符合医院现有同类产品，可根据医院要求调整</w:t>
            </w:r>
          </w:p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3.抽屉采用优质滚珠滑道，抽拉时应静音、平稳、无倾斜、下垂等现象，经抗疲劳测试（提供滑道第三方检测报告）</w:t>
            </w:r>
          </w:p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4.抽屉柜体表面抗菌处理：柜体金属材料表面符合WS/T 650-2019《抗菌和抑菌效果评价方法》标准，对大肠杆菌和金黄色葡萄球菌的抗菌活性值≥1.0，具有抗菌作用 (提供第三方机构检测报告予以证明)</w:t>
            </w:r>
          </w:p>
          <w:p>
            <w:pPr>
              <w:adjustRightInd w:val="0"/>
              <w:snapToGrid w:val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5.柜门采用阻尼铰链，具备阻尼和缓释吸合功能，打开关闭无噪音，亦防止柜门未锁时自动滑开，使用舒心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服药车</w:t>
            </w:r>
          </w:p>
        </w:tc>
        <w:tc>
          <w:tcPr>
            <w:tcW w:w="451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Merge w:val="continue"/>
            <w:tcBorders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抢救车</w:t>
            </w:r>
          </w:p>
        </w:tc>
        <w:tc>
          <w:tcPr>
            <w:tcW w:w="451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Merge w:val="continue"/>
            <w:tcBorders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护理车</w:t>
            </w:r>
          </w:p>
        </w:tc>
        <w:tc>
          <w:tcPr>
            <w:tcW w:w="451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Merge w:val="continue"/>
            <w:tcBorders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器械柜</w:t>
            </w:r>
          </w:p>
        </w:tc>
        <w:tc>
          <w:tcPr>
            <w:tcW w:w="451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Merge w:val="continue"/>
            <w:tcBorders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方正仿宋_GBK" w:cs="Arial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……</w:t>
            </w:r>
          </w:p>
        </w:tc>
        <w:tc>
          <w:tcPr>
            <w:tcW w:w="451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Merge w:val="continue"/>
            <w:tcBorders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病房护理器具2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Arial" w:hAnsi="Arial" w:eastAsia="方正仿宋_GBK" w:cs="Arial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病历推车</w:t>
            </w:r>
          </w:p>
        </w:tc>
        <w:tc>
          <w:tcPr>
            <w:tcW w:w="4515" w:type="dxa"/>
            <w:vMerge w:val="restart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1.主要材质：不锈钢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2.样式可根据医院要求进行调整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3.不锈钢要求材质均为304#不锈钢，厚度1.0mm-1.5mm（提供304材质证明文件）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4.焊接工艺采用焊接机器人工艺（提供焊接机器人实物图片及购机发票复印件）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5.抽屉采用优质滚珠滑道，抽拉时应静音、平稳、无倾斜、下垂等现象，经抗疲劳测试（提供滑道第三方检测报告）</w:t>
            </w:r>
          </w:p>
          <w:p>
            <w:pPr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6.柜门采用阻尼铰链，具备阻尼和缓释吸合功能，打开关闭无噪音，亦防止柜门未锁时自动滑开，使用舒心</w:t>
            </w:r>
          </w:p>
        </w:tc>
        <w:tc>
          <w:tcPr>
            <w:tcW w:w="1088" w:type="dxa"/>
            <w:vMerge w:val="continue"/>
            <w:tcBorders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Arial" w:hAnsi="Arial" w:eastAsia="方正仿宋_GBK" w:cs="Arial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服药车</w:t>
            </w:r>
          </w:p>
        </w:tc>
        <w:tc>
          <w:tcPr>
            <w:tcW w:w="451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Merge w:val="continue"/>
            <w:tcBorders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Arial" w:hAnsi="Arial" w:eastAsia="方正仿宋_GBK" w:cs="Arial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抢救车</w:t>
            </w:r>
          </w:p>
        </w:tc>
        <w:tc>
          <w:tcPr>
            <w:tcW w:w="451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Merge w:val="continue"/>
            <w:tcBorders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Arial" w:hAnsi="Arial" w:eastAsia="方正仿宋_GBK" w:cs="Arial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护理车</w:t>
            </w:r>
          </w:p>
        </w:tc>
        <w:tc>
          <w:tcPr>
            <w:tcW w:w="451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Merge w:val="continue"/>
            <w:tcBorders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Arial" w:hAnsi="Arial" w:eastAsia="方正仿宋_GBK" w:cs="Arial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器械柜</w:t>
            </w:r>
          </w:p>
        </w:tc>
        <w:tc>
          <w:tcPr>
            <w:tcW w:w="451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Merge w:val="continue"/>
            <w:tcBorders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Arial" w:hAnsi="Arial" w:eastAsia="方正仿宋_GBK" w:cs="Arial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方正仿宋_GBK" w:cs="Arial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……</w:t>
            </w:r>
          </w:p>
        </w:tc>
        <w:tc>
          <w:tcPr>
            <w:tcW w:w="451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Merge w:val="continue"/>
            <w:tcBorders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电动吸引器</w:t>
            </w:r>
          </w:p>
        </w:tc>
        <w:tc>
          <w:tcPr>
            <w:tcW w:w="138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Arial" w:hAnsi="Arial" w:eastAsia="方正仿宋_GBK" w:cs="Arial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1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1.1最大负压值：≥0.09MPa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1.2负压调节范围：0.02MPa-0.09MPa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1.3抽气速度：≥40L/min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1.4储液瓶：2500ml，2个</w:t>
            </w:r>
          </w:p>
          <w:p>
            <w:pPr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1.5吸引泵：无油活塞泵</w:t>
            </w:r>
          </w:p>
        </w:tc>
        <w:tc>
          <w:tcPr>
            <w:tcW w:w="1088" w:type="dxa"/>
            <w:vMerge w:val="continue"/>
            <w:tcBorders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灯具</w:t>
            </w:r>
            <w:bookmarkStart w:id="0" w:name="_GoBack"/>
            <w:bookmarkEnd w:id="0"/>
          </w:p>
        </w:tc>
        <w:tc>
          <w:tcPr>
            <w:tcW w:w="138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Arial" w:hAnsi="Arial" w:eastAsia="方正仿宋_GBK" w:cs="Arial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视力表灯</w:t>
            </w:r>
          </w:p>
        </w:tc>
        <w:tc>
          <w:tcPr>
            <w:tcW w:w="4515" w:type="dxa"/>
          </w:tcPr>
          <w:p>
            <w:pPr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LED光源</w:t>
            </w:r>
          </w:p>
        </w:tc>
        <w:tc>
          <w:tcPr>
            <w:tcW w:w="1088" w:type="dxa"/>
            <w:vMerge w:val="continue"/>
            <w:tcBorders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025" w:type="dxa"/>
            <w:vMerge w:val="continue"/>
            <w:tcBorders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Arial" w:hAnsi="Arial" w:eastAsia="方正仿宋_GBK" w:cs="Arial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看片灯</w:t>
            </w:r>
          </w:p>
        </w:tc>
        <w:tc>
          <w:tcPr>
            <w:tcW w:w="4515" w:type="dxa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1.规格分为单联、双联及多联</w:t>
            </w:r>
          </w:p>
          <w:p>
            <w:pPr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2.光源：LED</w:t>
            </w:r>
          </w:p>
        </w:tc>
        <w:tc>
          <w:tcPr>
            <w:tcW w:w="1088" w:type="dxa"/>
            <w:vMerge w:val="continue"/>
            <w:tcBorders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025" w:type="dxa"/>
            <w:vMerge w:val="continue"/>
            <w:tcBorders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Arial" w:hAnsi="Arial" w:eastAsia="方正仿宋_GBK" w:cs="Arial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单头手术灯</w:t>
            </w:r>
          </w:p>
        </w:tc>
        <w:tc>
          <w:tcPr>
            <w:tcW w:w="4515" w:type="dxa"/>
          </w:tcPr>
          <w:p>
            <w:pPr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LED光源</w:t>
            </w:r>
          </w:p>
        </w:tc>
        <w:tc>
          <w:tcPr>
            <w:tcW w:w="1088" w:type="dxa"/>
            <w:vMerge w:val="continue"/>
            <w:tcBorders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二、供应商资质要求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基本资格条件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1具有独立承担民事责任的能力；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2具有良好的商业信誉和健全的财务会计制度；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3具有履行合同所必需的设备和专业技术能力；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4有依法缴纳税收和社会保障资金的良好记录；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5参加政府采购活动近三年内，在经营活动中没有重大违法记录。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2.2特定资格条件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为所投标产品制造商或经销商，若为经销商投标，须具备产品制造商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直接授权的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经销资格；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须具备有效期内《医疗器械经营企业许可证》或《医疗器械经营许可证》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三、商务要求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3.1病房护理器具的质保期不少于3年</w:t>
      </w: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>（零配件需提供10年供应）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，其它产品的质保期则不少于1年；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3.2付款方式：经采购人验收合格后，采购人支付全部货款。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3.3提供所投产品在重庆的用户名单、联系人及联系电话。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四、供应商须知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4.1不得干扰采购人的评审活动，否则将废除其投标。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4.2若未成交，本院无义务对各供应商做解释工作。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4.3应保证所有资料的真实性。如提供不真实的材料，无论其材料是否重要，供应商需承担相应的后果及法律责任。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4.4理解并同意：最低报价非中标的唯一条件。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、响应文件要求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（一）内容要求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营业执照（副本）或事业单位法人证书（副本）复印件；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缴纳税收和社会保障金的证明材料复印件；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1.5在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5.1.6供应商《医疗器械生产企业许可证》或《医疗器械经营企业许可证》（复印件加盖鲜章）；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5.1.7提供所投产品销售业绩的相关证明材料，如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医院用户名单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产品介绍、彩页资料等材料。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格式要求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供应商应当按照需求公告的要求编制响应文件，对所提出的要求和条件做出实质性响应，同时编制完整的页码、目录；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2响应文件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报价一份（报价需密封）。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、响应文件递交时限及联系方式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时限：请于202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日下午5:00前将响应文件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、纸质报价及产品样本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交至招标办，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逾期不再受理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-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室）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郭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老师 63692226。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</w:rPr>
        <w:t>时间及结果公示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时间及地点：另行通知</w:t>
      </w:r>
    </w:p>
    <w:p>
      <w:pPr>
        <w:pStyle w:val="13"/>
        <w:adjustRightInd w:val="0"/>
        <w:snapToGrid w:val="0"/>
        <w:rPr>
          <w:rFonts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.2采购人将评审结果报我院有权审批部门审批后，即以电话形式告之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pStyle w:val="13"/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.3采购人无义务向其他供应商解释未成交原因，响应文件概不退还。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阿里巴巴普惠体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  <w:font w:name="PMingLiU">
    <w:altName w:val="PMingLiU-ExtB"/>
    <w:panose1 w:val="02020500000000000000"/>
    <w:charset w:val="00"/>
    <w:family w:val="roman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C2602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805C2"/>
    <w:rsid w:val="00F95E92"/>
    <w:rsid w:val="03A11DFB"/>
    <w:rsid w:val="08384706"/>
    <w:rsid w:val="0918601A"/>
    <w:rsid w:val="0A1D68B3"/>
    <w:rsid w:val="0B0B2B8C"/>
    <w:rsid w:val="0E2F06B6"/>
    <w:rsid w:val="101E7372"/>
    <w:rsid w:val="120D6F1B"/>
    <w:rsid w:val="12155AEC"/>
    <w:rsid w:val="13E54695"/>
    <w:rsid w:val="153B0D9E"/>
    <w:rsid w:val="1D29167B"/>
    <w:rsid w:val="1E08551C"/>
    <w:rsid w:val="1F591F5B"/>
    <w:rsid w:val="294E3997"/>
    <w:rsid w:val="2BAD3246"/>
    <w:rsid w:val="417B242E"/>
    <w:rsid w:val="486E3659"/>
    <w:rsid w:val="4B6E42A4"/>
    <w:rsid w:val="59B352EC"/>
    <w:rsid w:val="5C6414EF"/>
    <w:rsid w:val="62237FA1"/>
    <w:rsid w:val="65DB7408"/>
    <w:rsid w:val="6ABE6BC3"/>
    <w:rsid w:val="6FF618A8"/>
    <w:rsid w:val="71022B9E"/>
    <w:rsid w:val="714D0081"/>
    <w:rsid w:val="72062190"/>
    <w:rsid w:val="725F7D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widowControl/>
      <w:pBdr>
        <w:bottom w:val="single" w:color="4F81BD" w:themeColor="accent1" w:sz="8" w:space="1"/>
      </w:pBdr>
      <w:spacing w:before="200" w:after="80"/>
      <w:jc w:val="left"/>
      <w:outlineLvl w:val="1"/>
    </w:pPr>
    <w:rPr>
      <w:rFonts w:asciiTheme="majorHAnsi" w:hAnsiTheme="majorHAnsi" w:eastAsiaTheme="majorEastAsia" w:cstheme="majorBidi"/>
      <w:color w:val="366091" w:themeColor="accent1" w:themeShade="BF"/>
      <w:kern w:val="0"/>
      <w:sz w:val="24"/>
      <w:szCs w:val="24"/>
      <w:lang w:eastAsia="en-US" w:bidi="en-US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4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300</Words>
  <Characters>1711</Characters>
  <Lines>14</Lines>
  <Paragraphs>4</Paragraphs>
  <ScaleCrop>false</ScaleCrop>
  <LinksUpToDate>false</LinksUpToDate>
  <CharactersWithSpaces>2007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2018-09-11T02:51:00Z</cp:lastPrinted>
  <dcterms:modified xsi:type="dcterms:W3CDTF">2022-11-07T10:01:57Z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