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放射防护用品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14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11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本着公平、公正、公开、诚信的原则，拟对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医院常用放射防护用品的常规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，现诚邀具有合格资质和良好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配送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包含但不限于本次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项目，如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项目可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自行增加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60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606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6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放射防护用品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铅衣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背心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围脖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帽子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三角裤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三角巾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眼罩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手套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6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131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二、技术要求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2.1整体材质采用进口材质，超轻、超薄、超柔软；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2.2防护材质为锑和橡胶粉合成；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2.3面料材质为内外E-PTFE面料；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2.4铅当量为正面0.5mmpb，背面0.25mmpb；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2.5魔术贴采用射出勾；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2.6拉链、卡扣为进口品牌；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2.7铅衣半袖为可拆卸活袖设计，下裙添加宽版，松紧腰带；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2.8可定制款式，尺码，花色。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四、商务要求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4.1有效使用期：≥4年；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有效期内免费对魔术贴、拉链、卡扣进行更换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 xml:space="preserve">； 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</w:t>
      </w:r>
      <w:r>
        <w:rPr>
          <w:rFonts w:hint="eastAsia" w:ascii="方正仿宋_GBK" w:hAnsi="方正仿宋_GBK" w:eastAsia="方正仿宋_GBK" w:cs="方正仿宋_GBK"/>
          <w:lang w:val="en-US" w:eastAsia="zh-CN"/>
        </w:rPr>
        <w:t>有效期内免费专业清洗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4.4付款方式：经采购人验收合格后，采购人支付全部货款。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4.5提供所投产品在重庆的用户名单、联系人及联系电话。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五、供应商须知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5.1不得干扰采购人的评审活动，否则将废除其投标。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5.2若未成交，本院无义务对各供应商做解释工作。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5.4理解并同意：最低报价非中标的唯一条件。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（一）内容要求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6.1.6供应商《医疗器械生产企业许可证》或《医疗器械经营企业许可证》（复印件加盖鲜章）；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6.1.7提供所投产品销售业绩的相关证明材料，如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产品介绍、彩页资料等材料。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格式要求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、纸质报价及产品样本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8384706"/>
    <w:rsid w:val="0A1D68B3"/>
    <w:rsid w:val="0B0B2B8C"/>
    <w:rsid w:val="0E2F06B6"/>
    <w:rsid w:val="101E7372"/>
    <w:rsid w:val="120D6F1B"/>
    <w:rsid w:val="13E54695"/>
    <w:rsid w:val="153B0D9E"/>
    <w:rsid w:val="1D29167B"/>
    <w:rsid w:val="1E08551C"/>
    <w:rsid w:val="1F591F5B"/>
    <w:rsid w:val="294E3997"/>
    <w:rsid w:val="2BAD3246"/>
    <w:rsid w:val="417B242E"/>
    <w:rsid w:val="486E3659"/>
    <w:rsid w:val="4B6E42A4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unhideWhenUsed/>
    <w:uiPriority w:val="99"/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2022-10-11T10:26:35Z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